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89D" w:rsidRDefault="00501B3E">
      <w:pPr>
        <w:widowControl/>
        <w:jc w:val="both"/>
        <w:rPr>
          <w:b/>
          <w:sz w:val="24"/>
        </w:rPr>
      </w:pPr>
      <w:r>
        <w:rPr>
          <w:b/>
          <w:sz w:val="24"/>
        </w:rPr>
        <w:t>Utah Division of Water Quality</w:t>
      </w:r>
    </w:p>
    <w:p w:rsidR="0024789D" w:rsidRDefault="00501B3E">
      <w:pPr>
        <w:widowControl/>
        <w:jc w:val="both"/>
        <w:rPr>
          <w:b/>
          <w:sz w:val="24"/>
        </w:rPr>
      </w:pPr>
      <w:r>
        <w:rPr>
          <w:b/>
          <w:sz w:val="24"/>
        </w:rPr>
        <w:t>Statement of Basis</w:t>
      </w:r>
    </w:p>
    <w:p w:rsidR="0024789D" w:rsidRDefault="00501B3E">
      <w:pPr>
        <w:widowControl/>
        <w:jc w:val="both"/>
        <w:rPr>
          <w:b/>
          <w:sz w:val="24"/>
        </w:rPr>
      </w:pPr>
      <w:r>
        <w:rPr>
          <w:b/>
          <w:sz w:val="24"/>
        </w:rPr>
        <w:t>ADDENDUM</w:t>
      </w:r>
    </w:p>
    <w:p w:rsidR="0024789D" w:rsidRDefault="00501B3E">
      <w:pPr>
        <w:widowControl/>
        <w:jc w:val="both"/>
        <w:rPr>
          <w:b/>
          <w:sz w:val="24"/>
        </w:rPr>
      </w:pPr>
      <w:r>
        <w:rPr>
          <w:b/>
          <w:sz w:val="24"/>
        </w:rPr>
        <w:t xml:space="preserve">Wasteload Analysis and Antidegradation Level I Review </w:t>
      </w:r>
    </w:p>
    <w:p w:rsidR="0024789D" w:rsidRDefault="002478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sz w:val="24"/>
        </w:rPr>
      </w:pPr>
    </w:p>
    <w:p w:rsidR="0024789D" w:rsidRDefault="002478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sz w:val="24"/>
        </w:rPr>
      </w:pPr>
    </w:p>
    <w:p w:rsidR="0024789D" w:rsidRDefault="00501B3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sz w:val="24"/>
        </w:rPr>
      </w:pPr>
      <w:r>
        <w:rPr>
          <w:b/>
          <w:sz w:val="24"/>
        </w:rPr>
        <w:t>Date:</w:t>
      </w:r>
      <w:r>
        <w:rPr>
          <w:b/>
          <w:sz w:val="24"/>
        </w:rPr>
        <w:tab/>
      </w:r>
      <w:r>
        <w:rPr>
          <w:b/>
          <w:sz w:val="24"/>
        </w:rPr>
        <w:tab/>
      </w:r>
      <w:r>
        <w:rPr>
          <w:b/>
          <w:sz w:val="24"/>
        </w:rPr>
        <w:tab/>
      </w:r>
      <w:r w:rsidR="007C2DDF">
        <w:rPr>
          <w:b/>
          <w:sz w:val="24"/>
        </w:rPr>
        <w:t>October 6</w:t>
      </w:r>
      <w:r>
        <w:rPr>
          <w:b/>
          <w:sz w:val="24"/>
        </w:rPr>
        <w:t>, 2022</w:t>
      </w:r>
    </w:p>
    <w:p w:rsidR="0024789D" w:rsidRDefault="002478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sz w:val="24"/>
        </w:rPr>
      </w:pPr>
    </w:p>
    <w:p w:rsidR="0024789D" w:rsidRDefault="00501B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Pr>
          <w:b/>
          <w:sz w:val="24"/>
        </w:rPr>
        <w:t>Prepared by:</w:t>
      </w:r>
      <w:r>
        <w:rPr>
          <w:b/>
          <w:sz w:val="24"/>
        </w:rPr>
        <w:tab/>
      </w:r>
      <w:r>
        <w:rPr>
          <w:b/>
          <w:sz w:val="24"/>
        </w:rPr>
        <w:tab/>
        <w:t xml:space="preserve">Suzan Tahir </w:t>
      </w:r>
    </w:p>
    <w:p w:rsidR="0024789D" w:rsidRDefault="00501B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Pr>
          <w:b/>
          <w:sz w:val="24"/>
        </w:rPr>
        <w:tab/>
      </w:r>
      <w:r>
        <w:rPr>
          <w:b/>
          <w:sz w:val="24"/>
        </w:rPr>
        <w:tab/>
      </w:r>
      <w:r>
        <w:rPr>
          <w:b/>
          <w:sz w:val="24"/>
        </w:rPr>
        <w:tab/>
        <w:t>Standards and Technical Services</w:t>
      </w:r>
    </w:p>
    <w:p w:rsidR="0024789D" w:rsidRDefault="002478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w:eastAsia="Times" w:hAnsi="Times" w:cs="Times"/>
        </w:rPr>
      </w:pPr>
    </w:p>
    <w:p w:rsidR="0024789D" w:rsidRDefault="00501B3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b/>
          <w:sz w:val="24"/>
        </w:rPr>
      </w:pPr>
      <w:r>
        <w:rPr>
          <w:b/>
          <w:sz w:val="24"/>
        </w:rPr>
        <w:t>Facility:</w:t>
      </w:r>
      <w:r>
        <w:rPr>
          <w:b/>
          <w:sz w:val="24"/>
        </w:rPr>
        <w:tab/>
      </w:r>
      <w:r>
        <w:rPr>
          <w:b/>
          <w:sz w:val="24"/>
        </w:rPr>
        <w:tab/>
        <w:t>Bronco Utah Operations; Emery Deep Mine</w:t>
      </w:r>
    </w:p>
    <w:p w:rsidR="0024789D" w:rsidRDefault="00501B3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b/>
          <w:sz w:val="24"/>
        </w:rPr>
      </w:pPr>
      <w:r>
        <w:rPr>
          <w:b/>
          <w:sz w:val="24"/>
        </w:rPr>
        <w:tab/>
      </w:r>
      <w:r>
        <w:rPr>
          <w:b/>
          <w:sz w:val="24"/>
        </w:rPr>
        <w:tab/>
      </w:r>
      <w:r>
        <w:rPr>
          <w:b/>
          <w:sz w:val="24"/>
        </w:rPr>
        <w:tab/>
        <w:t>UPDES No. UT0022616</w:t>
      </w:r>
    </w:p>
    <w:p w:rsidR="0024789D" w:rsidRDefault="002478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rsidR="0024789D" w:rsidRDefault="00501B3E">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b/>
          <w:sz w:val="24"/>
        </w:rPr>
      </w:pPr>
      <w:r>
        <w:rPr>
          <w:b/>
          <w:sz w:val="24"/>
        </w:rPr>
        <w:t xml:space="preserve">Receiving water: </w:t>
      </w:r>
      <w:r>
        <w:rPr>
          <w:b/>
          <w:sz w:val="24"/>
        </w:rPr>
        <w:tab/>
        <w:t>Quitchupah Creek (2B, 3C, 4)</w:t>
      </w:r>
    </w:p>
    <w:p w:rsidR="0024789D" w:rsidRDefault="002478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rsidR="0024789D" w:rsidRDefault="00501B3E">
      <w:pPr>
        <w:widowControl/>
        <w:jc w:val="both"/>
        <w:rPr>
          <w:sz w:val="24"/>
        </w:rPr>
      </w:pPr>
      <w:r>
        <w:rPr>
          <w:sz w:val="24"/>
        </w:rPr>
        <w:t xml:space="preserve">This addendum summarizes the wasteload analysis that was performed to determine water quality based effluent limits (WQBEL) for this discharge. Wasteload analyses are performed to determine point source effluent limitations necessary to maintain designated beneficial uses by evaluating projected effects of discharge concentrations on in-stream water quality. The wasteload analysis also </w:t>
      </w:r>
      <w:proofErr w:type="gramStart"/>
      <w:r>
        <w:rPr>
          <w:sz w:val="24"/>
        </w:rPr>
        <w:t>takes into account</w:t>
      </w:r>
      <w:proofErr w:type="gramEnd"/>
      <w:r>
        <w:rPr>
          <w:sz w:val="24"/>
        </w:rPr>
        <w:t xml:space="preserve"> downstream designated uses (UAC R317-2-8). Projected concentrations are compared to numeric water quality standards to determine acceptability. The numeric criteria in this wasteload analysis may be modified by narrative criteria and other conditions determined by staff of the Division of Water Quality.</w:t>
      </w:r>
    </w:p>
    <w:p w:rsidR="0024789D" w:rsidRDefault="002478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rsidR="0024789D" w:rsidRDefault="002478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rsidR="0024789D" w:rsidRDefault="00F861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u w:val="single"/>
        </w:rPr>
      </w:pPr>
      <w:r>
        <w:rPr>
          <w:b/>
          <w:sz w:val="24"/>
          <w:u w:val="single"/>
        </w:rPr>
        <w:t xml:space="preserve">Maximum Effluent </w:t>
      </w:r>
      <w:r w:rsidR="00501B3E" w:rsidRPr="00F86180">
        <w:rPr>
          <w:b/>
          <w:sz w:val="24"/>
          <w:u w:val="single"/>
        </w:rPr>
        <w:t>Discharge</w:t>
      </w:r>
      <w:r w:rsidRPr="00F86180">
        <w:rPr>
          <w:b/>
          <w:sz w:val="24"/>
          <w:u w:val="single"/>
        </w:rPr>
        <w:t xml:space="preserve"> =</w:t>
      </w:r>
      <w:r>
        <w:rPr>
          <w:b/>
          <w:sz w:val="24"/>
          <w:u w:val="single"/>
        </w:rPr>
        <w:t xml:space="preserve"> </w:t>
      </w:r>
      <w:r w:rsidR="00332326">
        <w:rPr>
          <w:b/>
          <w:sz w:val="24"/>
          <w:u w:val="single"/>
        </w:rPr>
        <w:t>3.0 mgd total</w:t>
      </w:r>
      <w:r>
        <w:rPr>
          <w:b/>
          <w:sz w:val="24"/>
          <w:u w:val="single"/>
        </w:rPr>
        <w:t xml:space="preserve"> from all outfalls</w:t>
      </w:r>
    </w:p>
    <w:p w:rsidR="0024789D" w:rsidRDefault="002478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u w:val="single"/>
        </w:rPr>
      </w:pPr>
    </w:p>
    <w:p w:rsidR="0024789D" w:rsidRDefault="00501B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001</w:t>
      </w:r>
      <w:r>
        <w:rPr>
          <w:sz w:val="24"/>
        </w:rPr>
        <w:tab/>
        <w:t>Mine water discharge, Pond 1</w:t>
      </w:r>
      <w:r>
        <w:rPr>
          <w:sz w:val="24"/>
        </w:rPr>
        <w:tab/>
      </w:r>
      <w:r>
        <w:rPr>
          <w:sz w:val="24"/>
        </w:rPr>
        <w:tab/>
      </w:r>
    </w:p>
    <w:p w:rsidR="0024789D" w:rsidRDefault="00501B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002</w:t>
      </w:r>
      <w:r>
        <w:rPr>
          <w:sz w:val="24"/>
        </w:rPr>
        <w:tab/>
        <w:t>Sedimentation Pond 2</w:t>
      </w:r>
      <w:r w:rsidR="007C2DDF">
        <w:rPr>
          <w:sz w:val="24"/>
        </w:rPr>
        <w:tab/>
      </w:r>
      <w:r w:rsidR="007C2DDF">
        <w:rPr>
          <w:sz w:val="24"/>
        </w:rPr>
        <w:tab/>
      </w:r>
      <w:r>
        <w:rPr>
          <w:sz w:val="24"/>
        </w:rPr>
        <w:tab/>
      </w:r>
      <w:r w:rsidR="007C2DDF">
        <w:rPr>
          <w:sz w:val="24"/>
        </w:rPr>
        <w:tab/>
      </w:r>
      <w:r>
        <w:rPr>
          <w:sz w:val="24"/>
        </w:rPr>
        <w:tab/>
      </w:r>
      <w:r>
        <w:rPr>
          <w:sz w:val="24"/>
        </w:rPr>
        <w:tab/>
      </w:r>
      <w:r>
        <w:rPr>
          <w:sz w:val="24"/>
        </w:rPr>
        <w:tab/>
      </w:r>
    </w:p>
    <w:p w:rsidR="0024789D" w:rsidRDefault="00501B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003 </w:t>
      </w:r>
      <w:r>
        <w:rPr>
          <w:sz w:val="24"/>
        </w:rPr>
        <w:tab/>
        <w:t>Mine water discharge, Pond 6</w:t>
      </w:r>
      <w:r w:rsidR="007C2DDF">
        <w:rPr>
          <w:sz w:val="24"/>
        </w:rPr>
        <w:tab/>
      </w:r>
      <w:r w:rsidR="007C2DDF">
        <w:rPr>
          <w:sz w:val="24"/>
        </w:rPr>
        <w:tab/>
      </w:r>
      <w:r w:rsidR="007C2DDF">
        <w:rPr>
          <w:sz w:val="24"/>
        </w:rPr>
        <w:tab/>
      </w:r>
      <w:r>
        <w:rPr>
          <w:sz w:val="24"/>
        </w:rPr>
        <w:tab/>
      </w:r>
      <w:r>
        <w:rPr>
          <w:sz w:val="24"/>
        </w:rPr>
        <w:tab/>
      </w:r>
      <w:r>
        <w:rPr>
          <w:sz w:val="24"/>
        </w:rPr>
        <w:tab/>
      </w:r>
    </w:p>
    <w:p w:rsidR="0024789D" w:rsidRDefault="00501B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004</w:t>
      </w:r>
      <w:r>
        <w:rPr>
          <w:sz w:val="24"/>
        </w:rPr>
        <w:tab/>
        <w:t xml:space="preserve">Mine water discharge, </w:t>
      </w:r>
      <w:r w:rsidR="00BD5BDD">
        <w:rPr>
          <w:sz w:val="24"/>
        </w:rPr>
        <w:t>Pond 4</w:t>
      </w:r>
      <w:r>
        <w:rPr>
          <w:sz w:val="24"/>
        </w:rPr>
        <w:tab/>
      </w:r>
    </w:p>
    <w:p w:rsidR="0024789D" w:rsidRDefault="00501B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005</w:t>
      </w:r>
      <w:r>
        <w:rPr>
          <w:sz w:val="24"/>
        </w:rPr>
        <w:tab/>
        <w:t>Sedimentation Pond 3</w:t>
      </w:r>
      <w:r>
        <w:rPr>
          <w:sz w:val="24"/>
        </w:rPr>
        <w:tab/>
      </w:r>
      <w:r>
        <w:rPr>
          <w:sz w:val="24"/>
        </w:rPr>
        <w:tab/>
      </w:r>
      <w:r>
        <w:rPr>
          <w:sz w:val="24"/>
        </w:rPr>
        <w:tab/>
      </w:r>
      <w:r>
        <w:rPr>
          <w:sz w:val="24"/>
        </w:rPr>
        <w:tab/>
      </w:r>
    </w:p>
    <w:p w:rsidR="0024789D" w:rsidRDefault="00501B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006</w:t>
      </w:r>
      <w:r>
        <w:rPr>
          <w:sz w:val="24"/>
        </w:rPr>
        <w:tab/>
        <w:t>Sedimentation Pond 8</w:t>
      </w:r>
      <w:r>
        <w:rPr>
          <w:sz w:val="24"/>
        </w:rPr>
        <w:tab/>
      </w:r>
      <w:r>
        <w:rPr>
          <w:sz w:val="24"/>
        </w:rPr>
        <w:tab/>
      </w:r>
      <w:r>
        <w:rPr>
          <w:sz w:val="24"/>
        </w:rPr>
        <w:tab/>
      </w:r>
    </w:p>
    <w:p w:rsidR="0024789D" w:rsidRDefault="00501B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007</w:t>
      </w:r>
      <w:r>
        <w:rPr>
          <w:sz w:val="24"/>
        </w:rPr>
        <w:tab/>
        <w:t>Sedimentation Pond 5</w:t>
      </w:r>
      <w:r>
        <w:rPr>
          <w:sz w:val="24"/>
        </w:rPr>
        <w:tab/>
      </w:r>
      <w:r>
        <w:rPr>
          <w:sz w:val="24"/>
        </w:rPr>
        <w:tab/>
      </w:r>
      <w:r>
        <w:rPr>
          <w:sz w:val="24"/>
        </w:rPr>
        <w:tab/>
      </w:r>
      <w:r>
        <w:rPr>
          <w:sz w:val="24"/>
        </w:rPr>
        <w:tab/>
      </w:r>
    </w:p>
    <w:p w:rsidR="0024789D" w:rsidRDefault="00501B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008</w:t>
      </w:r>
      <w:r>
        <w:rPr>
          <w:sz w:val="24"/>
        </w:rPr>
        <w:tab/>
        <w:t xml:space="preserve">Sedimentation Pond </w:t>
      </w:r>
      <w:r w:rsidR="00BD5BDD">
        <w:rPr>
          <w:sz w:val="24"/>
        </w:rPr>
        <w:t xml:space="preserve">7 </w:t>
      </w:r>
      <w:r>
        <w:rPr>
          <w:sz w:val="24"/>
        </w:rPr>
        <w:t>(slurry pond)</w:t>
      </w:r>
      <w:r>
        <w:rPr>
          <w:sz w:val="24"/>
        </w:rPr>
        <w:tab/>
      </w:r>
      <w:r>
        <w:rPr>
          <w:sz w:val="24"/>
        </w:rPr>
        <w:tab/>
      </w:r>
    </w:p>
    <w:p w:rsidR="0024789D" w:rsidRDefault="00501B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009</w:t>
      </w:r>
      <w:r>
        <w:rPr>
          <w:sz w:val="24"/>
        </w:rPr>
        <w:tab/>
        <w:t>Sedimentation Pond</w:t>
      </w:r>
      <w:r w:rsidR="00BD5BDD">
        <w:rPr>
          <w:sz w:val="24"/>
        </w:rPr>
        <w:t xml:space="preserve"> 9</w:t>
      </w:r>
      <w:r>
        <w:rPr>
          <w:sz w:val="24"/>
        </w:rPr>
        <w:tab/>
      </w:r>
      <w:r>
        <w:rPr>
          <w:sz w:val="24"/>
        </w:rPr>
        <w:tab/>
      </w:r>
      <w:r>
        <w:rPr>
          <w:sz w:val="24"/>
        </w:rPr>
        <w:tab/>
      </w:r>
      <w:r>
        <w:rPr>
          <w:sz w:val="24"/>
        </w:rPr>
        <w:tab/>
      </w:r>
    </w:p>
    <w:p w:rsidR="0024789D" w:rsidRDefault="002478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4789D" w:rsidRDefault="002478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4789D" w:rsidRDefault="00501B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u w:val="single"/>
        </w:rPr>
      </w:pPr>
      <w:r>
        <w:rPr>
          <w:b/>
          <w:sz w:val="24"/>
          <w:u w:val="single"/>
        </w:rPr>
        <w:t>Receiving Water</w:t>
      </w:r>
    </w:p>
    <w:p w:rsidR="0024789D" w:rsidRDefault="002478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u w:val="single"/>
        </w:rPr>
      </w:pPr>
    </w:p>
    <w:p w:rsidR="0024789D" w:rsidRDefault="00501B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The receiving water for Outfalls 001-008 is Quitchupah Creek. </w:t>
      </w:r>
    </w:p>
    <w:p w:rsidR="0024789D" w:rsidRDefault="002478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4789D" w:rsidRDefault="00501B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The receiving water for Outfall 009 is Christiansen Wash, a tributary to Quitchupah Creek.</w:t>
      </w:r>
    </w:p>
    <w:p w:rsidR="0024789D" w:rsidRDefault="002478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4789D" w:rsidRDefault="00501B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lastRenderedPageBreak/>
        <w:t>Per UAC R317-2-13.1, the designated beneficial uses of Quitchupah Creek and Christiansen Wash (tributaries of Muddy Creek) are:  Muddy Creek and tributaries, from confluence with Fremont River to Highway U-10 crossing, (with exceptions) are 2B, 3C, 4.</w:t>
      </w:r>
    </w:p>
    <w:p w:rsidR="0024789D" w:rsidRDefault="002478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4"/>
        </w:rPr>
      </w:pPr>
    </w:p>
    <w:p w:rsidR="0024789D" w:rsidRDefault="00501B3E">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4"/>
        </w:rPr>
      </w:pPr>
      <w:r>
        <w:rPr>
          <w:i/>
          <w:sz w:val="24"/>
        </w:rPr>
        <w:t>Class 2B - Protected for infrequent primary contact recreation. Also protected for secondary contact recreation where there is a low likelihood of ingestion of water or a low degree of bodily contact with the water. Examples include, but are not limited to, wading, hunting, and fishing.</w:t>
      </w:r>
    </w:p>
    <w:p w:rsidR="0024789D" w:rsidRDefault="002478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sz w:val="24"/>
        </w:rPr>
      </w:pPr>
    </w:p>
    <w:p w:rsidR="0024789D" w:rsidRDefault="00501B3E">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4"/>
        </w:rPr>
      </w:pPr>
      <w:r>
        <w:rPr>
          <w:i/>
          <w:sz w:val="24"/>
        </w:rPr>
        <w:t>Class 3C -</w:t>
      </w:r>
      <w:r>
        <w:t xml:space="preserve"> </w:t>
      </w:r>
      <w:r>
        <w:rPr>
          <w:i/>
          <w:sz w:val="24"/>
        </w:rPr>
        <w:t>Protected for nongame fish and other aquatic life, including the necessary aquatic organisms in their food chain.</w:t>
      </w:r>
    </w:p>
    <w:p w:rsidR="0024789D" w:rsidRDefault="002478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4"/>
        </w:rPr>
      </w:pPr>
    </w:p>
    <w:p w:rsidR="0024789D" w:rsidRDefault="00501B3E">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4"/>
        </w:rPr>
      </w:pPr>
      <w:r>
        <w:rPr>
          <w:i/>
          <w:sz w:val="24"/>
        </w:rPr>
        <w:t>Class 4 - Protected for agricultural uses including irrigation of crops and stock watering.</w:t>
      </w:r>
    </w:p>
    <w:p w:rsidR="0024789D" w:rsidRDefault="002478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4789D" w:rsidRDefault="00501B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As per R317-2, Table 2.14.1, footnote (4), the segment of Quitchupah Creek from the confluence with Ivie Creek to U-10 has a site-specific TDS standard of 3,800 mg/l provided that total sulfate not exceed 2,000 mg/l to protect the livestock watering agricultural existing use.</w:t>
      </w:r>
    </w:p>
    <w:p w:rsidR="0024789D" w:rsidRDefault="002478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4789D" w:rsidRDefault="00501B3E">
      <w:pPr>
        <w:jc w:val="both"/>
        <w:rPr>
          <w:sz w:val="24"/>
        </w:rPr>
      </w:pPr>
      <w:bookmarkStart w:id="0" w:name="_heading=h.gjdgxs" w:colFirst="0" w:colLast="0"/>
      <w:bookmarkEnd w:id="0"/>
      <w:r>
        <w:rPr>
          <w:sz w:val="24"/>
        </w:rPr>
        <w:t>Typically, the critical flow for the wasteload analysis is considered the lowest stream flow for seven consecutive days with a ten-year return frequency (7Q10). However due to limited flow data, the average seasonal flows were used in this wasteload. (</w:t>
      </w:r>
      <w:r>
        <w:rPr>
          <w:b/>
          <w:sz w:val="24"/>
        </w:rPr>
        <w:t>Table 1</w:t>
      </w:r>
      <w:r>
        <w:rPr>
          <w:sz w:val="24"/>
        </w:rPr>
        <w:t>).</w:t>
      </w:r>
    </w:p>
    <w:p w:rsidR="0024789D" w:rsidRDefault="0024789D">
      <w:pPr>
        <w:jc w:val="both"/>
        <w:rPr>
          <w:sz w:val="24"/>
        </w:rPr>
      </w:pPr>
    </w:p>
    <w:p w:rsidR="0024789D" w:rsidRDefault="00501B3E" w:rsidP="007C2DDF">
      <w:pPr>
        <w:pBdr>
          <w:top w:val="nil"/>
          <w:left w:val="nil"/>
          <w:bottom w:val="nil"/>
          <w:right w:val="nil"/>
          <w:between w:val="nil"/>
        </w:pBdr>
        <w:rPr>
          <w:color w:val="000000"/>
          <w:sz w:val="24"/>
        </w:rPr>
      </w:pPr>
      <w:bookmarkStart w:id="1" w:name="_heading=h.30j0zll" w:colFirst="0" w:colLast="0"/>
      <w:bookmarkEnd w:id="1"/>
      <w:r>
        <w:rPr>
          <w:color w:val="000000"/>
          <w:sz w:val="24"/>
        </w:rPr>
        <w:t xml:space="preserve"> Table </w:t>
      </w:r>
      <w:r w:rsidR="007C2DDF">
        <w:rPr>
          <w:color w:val="000000"/>
          <w:sz w:val="24"/>
        </w:rPr>
        <w:t>1. Seasonal</w:t>
      </w:r>
      <w:r>
        <w:rPr>
          <w:color w:val="000000"/>
          <w:sz w:val="24"/>
        </w:rPr>
        <w:t xml:space="preserve"> Critical Flows for Outfalls 001-008</w:t>
      </w:r>
    </w:p>
    <w:tbl>
      <w:tblPr>
        <w:tblStyle w:val="a"/>
        <w:tblW w:w="38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070"/>
      </w:tblGrid>
      <w:tr w:rsidR="0024789D" w:rsidRPr="007C2DDF">
        <w:tc>
          <w:tcPr>
            <w:tcW w:w="1800" w:type="dxa"/>
          </w:tcPr>
          <w:p w:rsidR="0024789D" w:rsidRPr="007C2DDF" w:rsidRDefault="00501B3E" w:rsidP="007C2DDF">
            <w:pPr>
              <w:rPr>
                <w:color w:val="000000"/>
                <w:sz w:val="24"/>
              </w:rPr>
            </w:pPr>
            <w:r w:rsidRPr="007C2DDF">
              <w:rPr>
                <w:color w:val="000000"/>
                <w:sz w:val="24"/>
              </w:rPr>
              <w:t>Season</w:t>
            </w:r>
          </w:p>
        </w:tc>
        <w:tc>
          <w:tcPr>
            <w:tcW w:w="2070" w:type="dxa"/>
          </w:tcPr>
          <w:p w:rsidR="0024789D" w:rsidRPr="007C2DDF" w:rsidRDefault="00501B3E" w:rsidP="007C2DDF">
            <w:pPr>
              <w:rPr>
                <w:color w:val="000000"/>
                <w:sz w:val="24"/>
              </w:rPr>
            </w:pPr>
            <w:r w:rsidRPr="007C2DDF">
              <w:rPr>
                <w:color w:val="000000"/>
                <w:sz w:val="24"/>
              </w:rPr>
              <w:t>Flow (average cfs)</w:t>
            </w:r>
          </w:p>
        </w:tc>
      </w:tr>
      <w:tr w:rsidR="0024789D">
        <w:tc>
          <w:tcPr>
            <w:tcW w:w="1800" w:type="dxa"/>
          </w:tcPr>
          <w:p w:rsidR="0024789D" w:rsidRDefault="00501B3E">
            <w:pPr>
              <w:jc w:val="both"/>
              <w:rPr>
                <w:sz w:val="24"/>
              </w:rPr>
            </w:pPr>
            <w:r>
              <w:rPr>
                <w:sz w:val="24"/>
              </w:rPr>
              <w:t>Summer</w:t>
            </w:r>
          </w:p>
        </w:tc>
        <w:tc>
          <w:tcPr>
            <w:tcW w:w="2070" w:type="dxa"/>
          </w:tcPr>
          <w:p w:rsidR="0024789D" w:rsidRDefault="00501B3E">
            <w:pPr>
              <w:jc w:val="both"/>
              <w:rPr>
                <w:sz w:val="24"/>
              </w:rPr>
            </w:pPr>
            <w:r>
              <w:rPr>
                <w:sz w:val="24"/>
              </w:rPr>
              <w:t>3.41</w:t>
            </w:r>
          </w:p>
        </w:tc>
      </w:tr>
      <w:tr w:rsidR="0024789D">
        <w:tc>
          <w:tcPr>
            <w:tcW w:w="1800" w:type="dxa"/>
          </w:tcPr>
          <w:p w:rsidR="0024789D" w:rsidRDefault="00501B3E">
            <w:pPr>
              <w:jc w:val="both"/>
              <w:rPr>
                <w:sz w:val="24"/>
              </w:rPr>
            </w:pPr>
            <w:r>
              <w:rPr>
                <w:sz w:val="24"/>
              </w:rPr>
              <w:t>Fall</w:t>
            </w:r>
          </w:p>
        </w:tc>
        <w:tc>
          <w:tcPr>
            <w:tcW w:w="2070" w:type="dxa"/>
          </w:tcPr>
          <w:p w:rsidR="0024789D" w:rsidRDefault="00501B3E">
            <w:pPr>
              <w:jc w:val="both"/>
              <w:rPr>
                <w:sz w:val="24"/>
              </w:rPr>
            </w:pPr>
            <w:r>
              <w:rPr>
                <w:sz w:val="24"/>
              </w:rPr>
              <w:t>2.85</w:t>
            </w:r>
          </w:p>
        </w:tc>
      </w:tr>
      <w:tr w:rsidR="0024789D">
        <w:tc>
          <w:tcPr>
            <w:tcW w:w="1800" w:type="dxa"/>
          </w:tcPr>
          <w:p w:rsidR="0024789D" w:rsidRDefault="00501B3E">
            <w:pPr>
              <w:jc w:val="both"/>
              <w:rPr>
                <w:sz w:val="24"/>
              </w:rPr>
            </w:pPr>
            <w:r>
              <w:rPr>
                <w:sz w:val="24"/>
              </w:rPr>
              <w:t>Winter</w:t>
            </w:r>
          </w:p>
        </w:tc>
        <w:tc>
          <w:tcPr>
            <w:tcW w:w="2070" w:type="dxa"/>
          </w:tcPr>
          <w:p w:rsidR="0024789D" w:rsidRDefault="00501B3E">
            <w:pPr>
              <w:jc w:val="both"/>
              <w:rPr>
                <w:sz w:val="24"/>
              </w:rPr>
            </w:pPr>
            <w:r>
              <w:rPr>
                <w:sz w:val="24"/>
              </w:rPr>
              <w:t>6.52</w:t>
            </w:r>
          </w:p>
        </w:tc>
      </w:tr>
      <w:tr w:rsidR="0024789D">
        <w:tc>
          <w:tcPr>
            <w:tcW w:w="1800" w:type="dxa"/>
          </w:tcPr>
          <w:p w:rsidR="0024789D" w:rsidRDefault="00501B3E">
            <w:pPr>
              <w:jc w:val="both"/>
              <w:rPr>
                <w:sz w:val="24"/>
              </w:rPr>
            </w:pPr>
            <w:r>
              <w:rPr>
                <w:sz w:val="24"/>
              </w:rPr>
              <w:t>Spring</w:t>
            </w:r>
          </w:p>
        </w:tc>
        <w:tc>
          <w:tcPr>
            <w:tcW w:w="2070" w:type="dxa"/>
          </w:tcPr>
          <w:p w:rsidR="0024789D" w:rsidRDefault="00501B3E">
            <w:pPr>
              <w:jc w:val="both"/>
              <w:rPr>
                <w:sz w:val="24"/>
              </w:rPr>
            </w:pPr>
            <w:r>
              <w:rPr>
                <w:sz w:val="24"/>
              </w:rPr>
              <w:t>37.64</w:t>
            </w:r>
          </w:p>
        </w:tc>
      </w:tr>
      <w:tr w:rsidR="0024789D">
        <w:tc>
          <w:tcPr>
            <w:tcW w:w="1800" w:type="dxa"/>
          </w:tcPr>
          <w:p w:rsidR="0024789D" w:rsidRDefault="0024789D">
            <w:pPr>
              <w:jc w:val="both"/>
              <w:rPr>
                <w:sz w:val="24"/>
              </w:rPr>
            </w:pPr>
          </w:p>
        </w:tc>
        <w:tc>
          <w:tcPr>
            <w:tcW w:w="2070" w:type="dxa"/>
          </w:tcPr>
          <w:p w:rsidR="0024789D" w:rsidRDefault="0024789D">
            <w:pPr>
              <w:jc w:val="both"/>
              <w:rPr>
                <w:sz w:val="24"/>
              </w:rPr>
            </w:pPr>
          </w:p>
        </w:tc>
      </w:tr>
      <w:tr w:rsidR="0024789D">
        <w:tc>
          <w:tcPr>
            <w:tcW w:w="1800" w:type="dxa"/>
          </w:tcPr>
          <w:p w:rsidR="0024789D" w:rsidRDefault="00501B3E">
            <w:pPr>
              <w:jc w:val="both"/>
              <w:rPr>
                <w:sz w:val="24"/>
              </w:rPr>
            </w:pPr>
            <w:r>
              <w:rPr>
                <w:sz w:val="24"/>
              </w:rPr>
              <w:t>Average</w:t>
            </w:r>
          </w:p>
        </w:tc>
        <w:tc>
          <w:tcPr>
            <w:tcW w:w="2070" w:type="dxa"/>
          </w:tcPr>
          <w:p w:rsidR="0024789D" w:rsidRDefault="00501B3E">
            <w:pPr>
              <w:jc w:val="both"/>
              <w:rPr>
                <w:sz w:val="24"/>
              </w:rPr>
            </w:pPr>
            <w:r>
              <w:rPr>
                <w:sz w:val="24"/>
              </w:rPr>
              <w:t>12.09</w:t>
            </w:r>
          </w:p>
        </w:tc>
      </w:tr>
      <w:tr w:rsidR="0024789D">
        <w:tc>
          <w:tcPr>
            <w:tcW w:w="1800" w:type="dxa"/>
          </w:tcPr>
          <w:p w:rsidR="0024789D" w:rsidRDefault="00501B3E">
            <w:pPr>
              <w:jc w:val="both"/>
              <w:rPr>
                <w:sz w:val="24"/>
              </w:rPr>
            </w:pPr>
            <w:r>
              <w:rPr>
                <w:sz w:val="24"/>
              </w:rPr>
              <w:t>20</w:t>
            </w:r>
            <w:r>
              <w:rPr>
                <w:sz w:val="24"/>
                <w:vertAlign w:val="superscript"/>
              </w:rPr>
              <w:t>th</w:t>
            </w:r>
            <w:r>
              <w:rPr>
                <w:sz w:val="24"/>
              </w:rPr>
              <w:t xml:space="preserve"> Percentile</w:t>
            </w:r>
          </w:p>
        </w:tc>
        <w:tc>
          <w:tcPr>
            <w:tcW w:w="2070" w:type="dxa"/>
          </w:tcPr>
          <w:p w:rsidR="0024789D" w:rsidRDefault="00501B3E">
            <w:pPr>
              <w:jc w:val="both"/>
              <w:rPr>
                <w:sz w:val="24"/>
              </w:rPr>
            </w:pPr>
            <w:r>
              <w:rPr>
                <w:sz w:val="24"/>
              </w:rPr>
              <w:t>0.025</w:t>
            </w:r>
          </w:p>
        </w:tc>
      </w:tr>
    </w:tbl>
    <w:p w:rsidR="0024789D" w:rsidRDefault="0024789D">
      <w:pPr>
        <w:jc w:val="both"/>
        <w:rPr>
          <w:sz w:val="24"/>
        </w:rPr>
      </w:pPr>
    </w:p>
    <w:p w:rsidR="0024789D" w:rsidRDefault="0024789D">
      <w:pPr>
        <w:jc w:val="both"/>
        <w:rPr>
          <w:b/>
          <w:i/>
          <w:sz w:val="24"/>
        </w:rPr>
      </w:pPr>
    </w:p>
    <w:p w:rsidR="0024789D" w:rsidRDefault="00501B3E">
      <w:pPr>
        <w:jc w:val="both"/>
        <w:rPr>
          <w:b/>
          <w:i/>
          <w:sz w:val="24"/>
        </w:rPr>
      </w:pPr>
      <w:bookmarkStart w:id="2" w:name="_heading=h.1fob9te" w:colFirst="0" w:colLast="0"/>
      <w:bookmarkEnd w:id="2"/>
      <w:r>
        <w:rPr>
          <w:b/>
          <w:i/>
          <w:sz w:val="24"/>
        </w:rPr>
        <w:t>Outfalls 001-008</w:t>
      </w:r>
    </w:p>
    <w:p w:rsidR="0024789D" w:rsidRDefault="00501B3E">
      <w:pPr>
        <w:jc w:val="both"/>
        <w:rPr>
          <w:sz w:val="24"/>
        </w:rPr>
      </w:pPr>
      <w:r>
        <w:rPr>
          <w:sz w:val="24"/>
        </w:rPr>
        <w:t xml:space="preserve">For the purposes of the wasteload calculations, discharge points (outfalls) 001-008 were aggregated. </w:t>
      </w:r>
    </w:p>
    <w:p w:rsidR="0024789D" w:rsidRDefault="0024789D">
      <w:pPr>
        <w:jc w:val="both"/>
        <w:rPr>
          <w:sz w:val="24"/>
        </w:rPr>
      </w:pPr>
    </w:p>
    <w:p w:rsidR="0024789D" w:rsidRDefault="00501B3E">
      <w:pPr>
        <w:jc w:val="both"/>
        <w:rPr>
          <w:sz w:val="24"/>
        </w:rPr>
      </w:pPr>
      <w:r>
        <w:rPr>
          <w:sz w:val="24"/>
        </w:rPr>
        <w:t xml:space="preserve">The source of flow and water parameters data was Division of Oil, Gas and Mining (DOGM). </w:t>
      </w:r>
    </w:p>
    <w:p w:rsidR="0024789D" w:rsidRDefault="0024789D">
      <w:pPr>
        <w:jc w:val="both"/>
        <w:rPr>
          <w:sz w:val="24"/>
        </w:rPr>
      </w:pPr>
    </w:p>
    <w:p w:rsidR="0024789D" w:rsidRDefault="00501B3E">
      <w:pPr>
        <w:jc w:val="both"/>
        <w:rPr>
          <w:sz w:val="24"/>
        </w:rPr>
      </w:pPr>
      <w:r>
        <w:rPr>
          <w:sz w:val="24"/>
        </w:rPr>
        <w:t>The receiving water body was characterized using sampling station #1A; (QUITCHUPAH CK AT ST RD #10 BRIDGE) for the period 2002-2022.</w:t>
      </w:r>
    </w:p>
    <w:p w:rsidR="0024789D" w:rsidRDefault="0024789D">
      <w:pPr>
        <w:jc w:val="both"/>
        <w:rPr>
          <w:sz w:val="24"/>
        </w:rPr>
      </w:pPr>
    </w:p>
    <w:p w:rsidR="0024789D" w:rsidRDefault="00501B3E">
      <w:pPr>
        <w:jc w:val="both"/>
        <w:rPr>
          <w:sz w:val="24"/>
        </w:rPr>
      </w:pPr>
      <w:r>
        <w:rPr>
          <w:sz w:val="24"/>
        </w:rPr>
        <w:t>The discharge data was characterized using site UT0022616-003 (UT0022616-003 SED POND #6 Q TO QUITCHUP) for the period 2002-2022. Details are summarized in Table 2.</w:t>
      </w:r>
    </w:p>
    <w:p w:rsidR="0024789D" w:rsidRDefault="0024789D">
      <w:pPr>
        <w:jc w:val="both"/>
        <w:rPr>
          <w:sz w:val="24"/>
        </w:rPr>
      </w:pPr>
    </w:p>
    <w:p w:rsidR="0024789D" w:rsidRDefault="00501B3E">
      <w:pPr>
        <w:pBdr>
          <w:top w:val="nil"/>
          <w:left w:val="nil"/>
          <w:bottom w:val="nil"/>
          <w:right w:val="nil"/>
          <w:between w:val="nil"/>
        </w:pBdr>
        <w:rPr>
          <w:color w:val="000000"/>
          <w:sz w:val="24"/>
        </w:rPr>
      </w:pPr>
      <w:bookmarkStart w:id="3" w:name="_heading=h.3znysh7" w:colFirst="0" w:colLast="0"/>
      <w:bookmarkEnd w:id="3"/>
      <w:r>
        <w:rPr>
          <w:color w:val="000000"/>
          <w:sz w:val="24"/>
        </w:rPr>
        <w:lastRenderedPageBreak/>
        <w:t>Table 2.WLA data sources for outfalls 001-008</w:t>
      </w:r>
    </w:p>
    <w:tbl>
      <w:tblPr>
        <w:tblStyle w:val="a0"/>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1440"/>
        <w:gridCol w:w="1890"/>
        <w:gridCol w:w="900"/>
        <w:gridCol w:w="1800"/>
        <w:gridCol w:w="1440"/>
      </w:tblGrid>
      <w:tr w:rsidR="0024789D">
        <w:tc>
          <w:tcPr>
            <w:tcW w:w="1885" w:type="dxa"/>
          </w:tcPr>
          <w:p w:rsidR="0024789D" w:rsidRDefault="00501B3E">
            <w:pPr>
              <w:jc w:val="both"/>
              <w:rPr>
                <w:b/>
                <w:sz w:val="24"/>
              </w:rPr>
            </w:pPr>
            <w:r>
              <w:rPr>
                <w:b/>
                <w:sz w:val="24"/>
              </w:rPr>
              <w:t>Site Description</w:t>
            </w:r>
          </w:p>
        </w:tc>
        <w:tc>
          <w:tcPr>
            <w:tcW w:w="1440" w:type="dxa"/>
          </w:tcPr>
          <w:p w:rsidR="0024789D" w:rsidRDefault="00501B3E">
            <w:pPr>
              <w:jc w:val="both"/>
              <w:rPr>
                <w:b/>
                <w:sz w:val="24"/>
              </w:rPr>
            </w:pPr>
            <w:r>
              <w:rPr>
                <w:b/>
                <w:sz w:val="24"/>
              </w:rPr>
              <w:t>Name</w:t>
            </w:r>
          </w:p>
        </w:tc>
        <w:tc>
          <w:tcPr>
            <w:tcW w:w="1890" w:type="dxa"/>
          </w:tcPr>
          <w:p w:rsidR="0024789D" w:rsidRDefault="00501B3E">
            <w:pPr>
              <w:jc w:val="both"/>
              <w:rPr>
                <w:b/>
                <w:sz w:val="24"/>
              </w:rPr>
            </w:pPr>
            <w:r>
              <w:rPr>
                <w:b/>
                <w:sz w:val="24"/>
              </w:rPr>
              <w:t>Type</w:t>
            </w:r>
          </w:p>
        </w:tc>
        <w:tc>
          <w:tcPr>
            <w:tcW w:w="900" w:type="dxa"/>
          </w:tcPr>
          <w:p w:rsidR="0024789D" w:rsidRDefault="00501B3E">
            <w:pPr>
              <w:jc w:val="both"/>
              <w:rPr>
                <w:b/>
                <w:sz w:val="24"/>
              </w:rPr>
            </w:pPr>
            <w:r>
              <w:rPr>
                <w:b/>
                <w:sz w:val="24"/>
              </w:rPr>
              <w:t>Period</w:t>
            </w:r>
          </w:p>
        </w:tc>
        <w:tc>
          <w:tcPr>
            <w:tcW w:w="1800" w:type="dxa"/>
          </w:tcPr>
          <w:p w:rsidR="0024789D" w:rsidRDefault="00501B3E">
            <w:pPr>
              <w:jc w:val="both"/>
              <w:rPr>
                <w:b/>
                <w:sz w:val="24"/>
              </w:rPr>
            </w:pPr>
            <w:r>
              <w:rPr>
                <w:b/>
                <w:sz w:val="24"/>
              </w:rPr>
              <w:t>Data Source</w:t>
            </w:r>
          </w:p>
        </w:tc>
        <w:tc>
          <w:tcPr>
            <w:tcW w:w="1440" w:type="dxa"/>
          </w:tcPr>
          <w:p w:rsidR="0024789D" w:rsidRDefault="00501B3E">
            <w:pPr>
              <w:jc w:val="both"/>
              <w:rPr>
                <w:b/>
                <w:sz w:val="24"/>
              </w:rPr>
            </w:pPr>
            <w:r>
              <w:rPr>
                <w:b/>
                <w:sz w:val="24"/>
              </w:rPr>
              <w:t>Comment</w:t>
            </w:r>
          </w:p>
        </w:tc>
      </w:tr>
      <w:tr w:rsidR="0024789D">
        <w:tc>
          <w:tcPr>
            <w:tcW w:w="1885" w:type="dxa"/>
          </w:tcPr>
          <w:p w:rsidR="0024789D" w:rsidRDefault="00501B3E">
            <w:pPr>
              <w:rPr>
                <w:sz w:val="24"/>
              </w:rPr>
            </w:pPr>
            <w:r>
              <w:rPr>
                <w:sz w:val="24"/>
              </w:rPr>
              <w:t>QUITCHUPAH CK AT ST RD #10 BRIDGE</w:t>
            </w:r>
          </w:p>
        </w:tc>
        <w:tc>
          <w:tcPr>
            <w:tcW w:w="1440" w:type="dxa"/>
          </w:tcPr>
          <w:p w:rsidR="0024789D" w:rsidRDefault="00501B3E">
            <w:pPr>
              <w:jc w:val="both"/>
              <w:rPr>
                <w:sz w:val="24"/>
              </w:rPr>
            </w:pPr>
            <w:r>
              <w:rPr>
                <w:sz w:val="24"/>
              </w:rPr>
              <w:t>1A</w:t>
            </w:r>
          </w:p>
        </w:tc>
        <w:tc>
          <w:tcPr>
            <w:tcW w:w="1890" w:type="dxa"/>
          </w:tcPr>
          <w:p w:rsidR="0024789D" w:rsidRDefault="00501B3E">
            <w:pPr>
              <w:jc w:val="both"/>
              <w:rPr>
                <w:sz w:val="24"/>
              </w:rPr>
            </w:pPr>
            <w:r>
              <w:rPr>
                <w:sz w:val="24"/>
              </w:rPr>
              <w:t>Stream</w:t>
            </w:r>
          </w:p>
        </w:tc>
        <w:tc>
          <w:tcPr>
            <w:tcW w:w="900" w:type="dxa"/>
          </w:tcPr>
          <w:p w:rsidR="0024789D" w:rsidRDefault="00501B3E">
            <w:pPr>
              <w:jc w:val="both"/>
              <w:rPr>
                <w:sz w:val="24"/>
              </w:rPr>
            </w:pPr>
            <w:r>
              <w:rPr>
                <w:sz w:val="24"/>
              </w:rPr>
              <w:t>2002-2022</w:t>
            </w:r>
          </w:p>
        </w:tc>
        <w:tc>
          <w:tcPr>
            <w:tcW w:w="1800" w:type="dxa"/>
          </w:tcPr>
          <w:p w:rsidR="0024789D" w:rsidRDefault="00501B3E">
            <w:pPr>
              <w:jc w:val="both"/>
              <w:rPr>
                <w:sz w:val="24"/>
              </w:rPr>
            </w:pPr>
            <w:r>
              <w:rPr>
                <w:sz w:val="24"/>
              </w:rPr>
              <w:t>Division of Oil, Gas and Mining (DOGM)</w:t>
            </w:r>
          </w:p>
        </w:tc>
        <w:tc>
          <w:tcPr>
            <w:tcW w:w="1440" w:type="dxa"/>
          </w:tcPr>
          <w:p w:rsidR="0024789D" w:rsidRDefault="00501B3E">
            <w:pPr>
              <w:jc w:val="both"/>
              <w:rPr>
                <w:sz w:val="24"/>
              </w:rPr>
            </w:pPr>
            <w:r>
              <w:rPr>
                <w:sz w:val="24"/>
              </w:rPr>
              <w:t>Upstream data source</w:t>
            </w:r>
          </w:p>
        </w:tc>
      </w:tr>
      <w:tr w:rsidR="0024789D">
        <w:tc>
          <w:tcPr>
            <w:tcW w:w="1885" w:type="dxa"/>
          </w:tcPr>
          <w:p w:rsidR="0024789D" w:rsidRDefault="0024789D">
            <w:pPr>
              <w:jc w:val="both"/>
              <w:rPr>
                <w:sz w:val="24"/>
              </w:rPr>
            </w:pPr>
          </w:p>
        </w:tc>
        <w:tc>
          <w:tcPr>
            <w:tcW w:w="1440" w:type="dxa"/>
          </w:tcPr>
          <w:p w:rsidR="0024789D" w:rsidRDefault="0024789D">
            <w:pPr>
              <w:jc w:val="both"/>
              <w:rPr>
                <w:sz w:val="24"/>
              </w:rPr>
            </w:pPr>
          </w:p>
        </w:tc>
        <w:tc>
          <w:tcPr>
            <w:tcW w:w="1890" w:type="dxa"/>
          </w:tcPr>
          <w:p w:rsidR="0024789D" w:rsidRDefault="0024789D">
            <w:pPr>
              <w:jc w:val="both"/>
              <w:rPr>
                <w:sz w:val="24"/>
              </w:rPr>
            </w:pPr>
          </w:p>
        </w:tc>
        <w:tc>
          <w:tcPr>
            <w:tcW w:w="900" w:type="dxa"/>
          </w:tcPr>
          <w:p w:rsidR="0024789D" w:rsidRDefault="0024789D">
            <w:pPr>
              <w:jc w:val="both"/>
              <w:rPr>
                <w:sz w:val="24"/>
              </w:rPr>
            </w:pPr>
          </w:p>
        </w:tc>
        <w:tc>
          <w:tcPr>
            <w:tcW w:w="1800" w:type="dxa"/>
          </w:tcPr>
          <w:p w:rsidR="0024789D" w:rsidRDefault="0024789D">
            <w:pPr>
              <w:jc w:val="both"/>
              <w:rPr>
                <w:sz w:val="24"/>
              </w:rPr>
            </w:pPr>
          </w:p>
        </w:tc>
        <w:tc>
          <w:tcPr>
            <w:tcW w:w="1440" w:type="dxa"/>
          </w:tcPr>
          <w:p w:rsidR="0024789D" w:rsidRDefault="0024789D">
            <w:pPr>
              <w:jc w:val="both"/>
              <w:rPr>
                <w:sz w:val="24"/>
              </w:rPr>
            </w:pPr>
          </w:p>
        </w:tc>
      </w:tr>
      <w:tr w:rsidR="0024789D">
        <w:tc>
          <w:tcPr>
            <w:tcW w:w="1885" w:type="dxa"/>
          </w:tcPr>
          <w:p w:rsidR="0024789D" w:rsidRDefault="00501B3E">
            <w:pPr>
              <w:rPr>
                <w:sz w:val="24"/>
              </w:rPr>
            </w:pPr>
            <w:r>
              <w:rPr>
                <w:sz w:val="24"/>
              </w:rPr>
              <w:t>UT0022616-003 SED POND #6 Q TO QUITCHUP</w:t>
            </w:r>
          </w:p>
        </w:tc>
        <w:tc>
          <w:tcPr>
            <w:tcW w:w="1440" w:type="dxa"/>
          </w:tcPr>
          <w:p w:rsidR="0024789D" w:rsidRDefault="00501B3E">
            <w:pPr>
              <w:jc w:val="both"/>
              <w:rPr>
                <w:sz w:val="24"/>
              </w:rPr>
            </w:pPr>
            <w:r>
              <w:rPr>
                <w:sz w:val="24"/>
              </w:rPr>
              <w:t>UT0022616-003</w:t>
            </w:r>
          </w:p>
        </w:tc>
        <w:tc>
          <w:tcPr>
            <w:tcW w:w="1890" w:type="dxa"/>
          </w:tcPr>
          <w:p w:rsidR="0024789D" w:rsidRDefault="00501B3E">
            <w:pPr>
              <w:jc w:val="both"/>
              <w:rPr>
                <w:sz w:val="24"/>
              </w:rPr>
            </w:pPr>
            <w:r>
              <w:rPr>
                <w:sz w:val="24"/>
              </w:rPr>
              <w:t>UPDES Permit discharge point</w:t>
            </w:r>
          </w:p>
        </w:tc>
        <w:tc>
          <w:tcPr>
            <w:tcW w:w="900" w:type="dxa"/>
          </w:tcPr>
          <w:p w:rsidR="0024789D" w:rsidRDefault="00501B3E">
            <w:pPr>
              <w:jc w:val="both"/>
              <w:rPr>
                <w:sz w:val="24"/>
              </w:rPr>
            </w:pPr>
            <w:r>
              <w:rPr>
                <w:sz w:val="24"/>
              </w:rPr>
              <w:t>2002-2022</w:t>
            </w:r>
          </w:p>
        </w:tc>
        <w:tc>
          <w:tcPr>
            <w:tcW w:w="1800" w:type="dxa"/>
          </w:tcPr>
          <w:p w:rsidR="0024789D" w:rsidRDefault="00501B3E">
            <w:pPr>
              <w:jc w:val="both"/>
              <w:rPr>
                <w:sz w:val="24"/>
              </w:rPr>
            </w:pPr>
            <w:r>
              <w:rPr>
                <w:sz w:val="24"/>
              </w:rPr>
              <w:t>Division of Oil, Gas and Mining (DOGM)</w:t>
            </w:r>
          </w:p>
        </w:tc>
        <w:tc>
          <w:tcPr>
            <w:tcW w:w="1440" w:type="dxa"/>
          </w:tcPr>
          <w:p w:rsidR="0024789D" w:rsidRDefault="00501B3E">
            <w:pPr>
              <w:jc w:val="both"/>
              <w:rPr>
                <w:sz w:val="24"/>
              </w:rPr>
            </w:pPr>
            <w:r>
              <w:rPr>
                <w:sz w:val="24"/>
              </w:rPr>
              <w:t>Discharge date source</w:t>
            </w:r>
          </w:p>
        </w:tc>
      </w:tr>
    </w:tbl>
    <w:p w:rsidR="0024789D" w:rsidRDefault="0024789D">
      <w:pPr>
        <w:jc w:val="both"/>
        <w:rPr>
          <w:sz w:val="24"/>
        </w:rPr>
      </w:pPr>
    </w:p>
    <w:p w:rsidR="0024789D" w:rsidRDefault="0024789D">
      <w:pPr>
        <w:jc w:val="both"/>
        <w:rPr>
          <w:sz w:val="24"/>
        </w:rPr>
      </w:pPr>
    </w:p>
    <w:p w:rsidR="0024789D" w:rsidRDefault="00501B3E">
      <w:pPr>
        <w:jc w:val="both"/>
        <w:rPr>
          <w:b/>
          <w:sz w:val="24"/>
        </w:rPr>
      </w:pPr>
      <w:r>
        <w:rPr>
          <w:b/>
          <w:sz w:val="24"/>
        </w:rPr>
        <w:t>Outfall 009</w:t>
      </w:r>
    </w:p>
    <w:p w:rsidR="0024789D" w:rsidRDefault="00501B3E">
      <w:pPr>
        <w:jc w:val="both"/>
        <w:rPr>
          <w:b/>
          <w:sz w:val="24"/>
        </w:rPr>
      </w:pPr>
      <w:r>
        <w:rPr>
          <w:sz w:val="24"/>
        </w:rPr>
        <w:t>The source of flow and water parameters data was Division of Oil, Gas and Mining (DOGM).</w:t>
      </w:r>
    </w:p>
    <w:p w:rsidR="0024789D" w:rsidRDefault="00501B3E">
      <w:pPr>
        <w:rPr>
          <w:sz w:val="24"/>
        </w:rPr>
      </w:pPr>
      <w:r>
        <w:rPr>
          <w:sz w:val="24"/>
        </w:rPr>
        <w:t>Typically, the critical flow for the wasteload analysis is considered the lowest stream flow for seven consecutive days with a ten-year return frequency (7Q10)</w:t>
      </w:r>
      <w:r w:rsidR="007C2DDF">
        <w:rPr>
          <w:sz w:val="24"/>
        </w:rPr>
        <w:t>.</w:t>
      </w:r>
      <w:r>
        <w:rPr>
          <w:sz w:val="24"/>
        </w:rPr>
        <w:t xml:space="preserve"> </w:t>
      </w:r>
      <w:r w:rsidR="007C2DDF">
        <w:rPr>
          <w:sz w:val="24"/>
        </w:rPr>
        <w:t xml:space="preserve">However due to limited flow data, the average seasonal flows were used in this wasteload. </w:t>
      </w:r>
      <w:r>
        <w:rPr>
          <w:sz w:val="24"/>
        </w:rPr>
        <w:t>(</w:t>
      </w:r>
      <w:r>
        <w:rPr>
          <w:b/>
          <w:sz w:val="24"/>
        </w:rPr>
        <w:t>Table 3</w:t>
      </w:r>
      <w:r>
        <w:rPr>
          <w:sz w:val="24"/>
        </w:rPr>
        <w:t>).</w:t>
      </w:r>
    </w:p>
    <w:p w:rsidR="0024789D" w:rsidRDefault="0024789D">
      <w:pPr>
        <w:rPr>
          <w:sz w:val="24"/>
        </w:rPr>
      </w:pPr>
    </w:p>
    <w:p w:rsidR="0024789D" w:rsidRDefault="00501B3E">
      <w:pPr>
        <w:pBdr>
          <w:top w:val="nil"/>
          <w:left w:val="nil"/>
          <w:bottom w:val="nil"/>
          <w:right w:val="nil"/>
          <w:between w:val="nil"/>
        </w:pBdr>
        <w:rPr>
          <w:color w:val="000000"/>
          <w:sz w:val="24"/>
        </w:rPr>
      </w:pPr>
      <w:bookmarkStart w:id="4" w:name="_heading=h.2et92p0" w:colFirst="0" w:colLast="0"/>
      <w:bookmarkEnd w:id="4"/>
      <w:r>
        <w:rPr>
          <w:color w:val="000000"/>
          <w:sz w:val="24"/>
        </w:rPr>
        <w:t xml:space="preserve">Table </w:t>
      </w:r>
      <w:r w:rsidR="007C2DDF">
        <w:rPr>
          <w:color w:val="000000"/>
          <w:sz w:val="24"/>
        </w:rPr>
        <w:t>3. Seasonal</w:t>
      </w:r>
      <w:r>
        <w:rPr>
          <w:color w:val="000000"/>
          <w:sz w:val="24"/>
        </w:rPr>
        <w:t xml:space="preserve"> Critical Flows Outfall 009 (cfs)</w:t>
      </w:r>
    </w:p>
    <w:tbl>
      <w:tblPr>
        <w:tblStyle w:val="a1"/>
        <w:tblW w:w="3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2160"/>
      </w:tblGrid>
      <w:tr w:rsidR="0024789D">
        <w:tc>
          <w:tcPr>
            <w:tcW w:w="1615" w:type="dxa"/>
          </w:tcPr>
          <w:p w:rsidR="0024789D" w:rsidRDefault="00501B3E">
            <w:pPr>
              <w:jc w:val="both"/>
              <w:rPr>
                <w:b/>
                <w:sz w:val="24"/>
              </w:rPr>
            </w:pPr>
            <w:r>
              <w:rPr>
                <w:b/>
                <w:sz w:val="24"/>
              </w:rPr>
              <w:t>Season</w:t>
            </w:r>
          </w:p>
        </w:tc>
        <w:tc>
          <w:tcPr>
            <w:tcW w:w="2160" w:type="dxa"/>
          </w:tcPr>
          <w:p w:rsidR="0024789D" w:rsidRDefault="00501B3E">
            <w:pPr>
              <w:jc w:val="both"/>
              <w:rPr>
                <w:b/>
                <w:sz w:val="24"/>
              </w:rPr>
            </w:pPr>
            <w:r>
              <w:rPr>
                <w:b/>
                <w:sz w:val="24"/>
              </w:rPr>
              <w:t>Flow (average cfs)</w:t>
            </w:r>
          </w:p>
        </w:tc>
      </w:tr>
      <w:tr w:rsidR="0024789D">
        <w:tc>
          <w:tcPr>
            <w:tcW w:w="1615" w:type="dxa"/>
          </w:tcPr>
          <w:p w:rsidR="0024789D" w:rsidRDefault="00501B3E">
            <w:pPr>
              <w:jc w:val="both"/>
              <w:rPr>
                <w:sz w:val="24"/>
              </w:rPr>
            </w:pPr>
            <w:r>
              <w:rPr>
                <w:sz w:val="24"/>
              </w:rPr>
              <w:t>Summer</w:t>
            </w:r>
          </w:p>
        </w:tc>
        <w:tc>
          <w:tcPr>
            <w:tcW w:w="2160" w:type="dxa"/>
          </w:tcPr>
          <w:p w:rsidR="0024789D" w:rsidRDefault="00501B3E">
            <w:pPr>
              <w:jc w:val="both"/>
              <w:rPr>
                <w:sz w:val="24"/>
              </w:rPr>
            </w:pPr>
            <w:r>
              <w:rPr>
                <w:sz w:val="24"/>
              </w:rPr>
              <w:t>0.88</w:t>
            </w:r>
          </w:p>
        </w:tc>
      </w:tr>
      <w:tr w:rsidR="0024789D">
        <w:tc>
          <w:tcPr>
            <w:tcW w:w="1615" w:type="dxa"/>
          </w:tcPr>
          <w:p w:rsidR="0024789D" w:rsidRDefault="00501B3E">
            <w:pPr>
              <w:jc w:val="both"/>
              <w:rPr>
                <w:sz w:val="24"/>
              </w:rPr>
            </w:pPr>
            <w:r>
              <w:rPr>
                <w:sz w:val="24"/>
              </w:rPr>
              <w:t>Fall</w:t>
            </w:r>
          </w:p>
        </w:tc>
        <w:tc>
          <w:tcPr>
            <w:tcW w:w="2160" w:type="dxa"/>
          </w:tcPr>
          <w:p w:rsidR="0024789D" w:rsidRDefault="00501B3E">
            <w:pPr>
              <w:jc w:val="both"/>
              <w:rPr>
                <w:sz w:val="24"/>
              </w:rPr>
            </w:pPr>
            <w:r>
              <w:rPr>
                <w:sz w:val="24"/>
              </w:rPr>
              <w:t>0.36</w:t>
            </w:r>
          </w:p>
        </w:tc>
      </w:tr>
      <w:tr w:rsidR="0024789D">
        <w:tc>
          <w:tcPr>
            <w:tcW w:w="1615" w:type="dxa"/>
          </w:tcPr>
          <w:p w:rsidR="0024789D" w:rsidRDefault="00501B3E">
            <w:pPr>
              <w:jc w:val="both"/>
              <w:rPr>
                <w:sz w:val="24"/>
              </w:rPr>
            </w:pPr>
            <w:r>
              <w:rPr>
                <w:sz w:val="24"/>
              </w:rPr>
              <w:t>Winter</w:t>
            </w:r>
          </w:p>
        </w:tc>
        <w:tc>
          <w:tcPr>
            <w:tcW w:w="2160" w:type="dxa"/>
          </w:tcPr>
          <w:p w:rsidR="0024789D" w:rsidRDefault="00501B3E">
            <w:pPr>
              <w:jc w:val="both"/>
              <w:rPr>
                <w:sz w:val="24"/>
              </w:rPr>
            </w:pPr>
            <w:r>
              <w:rPr>
                <w:sz w:val="24"/>
              </w:rPr>
              <w:t>2.59</w:t>
            </w:r>
          </w:p>
        </w:tc>
      </w:tr>
      <w:tr w:rsidR="0024789D">
        <w:tc>
          <w:tcPr>
            <w:tcW w:w="1615" w:type="dxa"/>
          </w:tcPr>
          <w:p w:rsidR="0024789D" w:rsidRDefault="00501B3E">
            <w:pPr>
              <w:jc w:val="both"/>
              <w:rPr>
                <w:sz w:val="24"/>
              </w:rPr>
            </w:pPr>
            <w:r>
              <w:rPr>
                <w:sz w:val="24"/>
              </w:rPr>
              <w:t>Spring</w:t>
            </w:r>
          </w:p>
        </w:tc>
        <w:tc>
          <w:tcPr>
            <w:tcW w:w="2160" w:type="dxa"/>
          </w:tcPr>
          <w:p w:rsidR="0024789D" w:rsidRDefault="00501B3E">
            <w:pPr>
              <w:jc w:val="both"/>
              <w:rPr>
                <w:sz w:val="24"/>
              </w:rPr>
            </w:pPr>
            <w:r>
              <w:rPr>
                <w:sz w:val="24"/>
              </w:rPr>
              <w:t>1.39</w:t>
            </w:r>
          </w:p>
        </w:tc>
      </w:tr>
      <w:tr w:rsidR="0024789D">
        <w:tc>
          <w:tcPr>
            <w:tcW w:w="1615" w:type="dxa"/>
          </w:tcPr>
          <w:p w:rsidR="0024789D" w:rsidRDefault="0024789D">
            <w:pPr>
              <w:jc w:val="both"/>
              <w:rPr>
                <w:sz w:val="24"/>
              </w:rPr>
            </w:pPr>
          </w:p>
        </w:tc>
        <w:tc>
          <w:tcPr>
            <w:tcW w:w="2160" w:type="dxa"/>
          </w:tcPr>
          <w:p w:rsidR="0024789D" w:rsidRDefault="0024789D">
            <w:pPr>
              <w:jc w:val="both"/>
              <w:rPr>
                <w:sz w:val="24"/>
              </w:rPr>
            </w:pPr>
          </w:p>
        </w:tc>
      </w:tr>
      <w:tr w:rsidR="0024789D">
        <w:tc>
          <w:tcPr>
            <w:tcW w:w="1615" w:type="dxa"/>
          </w:tcPr>
          <w:p w:rsidR="0024789D" w:rsidRDefault="00501B3E">
            <w:pPr>
              <w:jc w:val="both"/>
              <w:rPr>
                <w:sz w:val="24"/>
              </w:rPr>
            </w:pPr>
            <w:r>
              <w:rPr>
                <w:sz w:val="24"/>
              </w:rPr>
              <w:t>Average</w:t>
            </w:r>
          </w:p>
        </w:tc>
        <w:tc>
          <w:tcPr>
            <w:tcW w:w="2160" w:type="dxa"/>
          </w:tcPr>
          <w:p w:rsidR="0024789D" w:rsidRDefault="00501B3E">
            <w:pPr>
              <w:jc w:val="both"/>
              <w:rPr>
                <w:sz w:val="24"/>
              </w:rPr>
            </w:pPr>
            <w:r>
              <w:rPr>
                <w:sz w:val="24"/>
              </w:rPr>
              <w:t>1.32</w:t>
            </w:r>
          </w:p>
        </w:tc>
      </w:tr>
      <w:tr w:rsidR="0024789D">
        <w:tc>
          <w:tcPr>
            <w:tcW w:w="1615" w:type="dxa"/>
          </w:tcPr>
          <w:p w:rsidR="0024789D" w:rsidRDefault="00501B3E">
            <w:pPr>
              <w:jc w:val="both"/>
              <w:rPr>
                <w:sz w:val="24"/>
              </w:rPr>
            </w:pPr>
            <w:r>
              <w:rPr>
                <w:sz w:val="24"/>
              </w:rPr>
              <w:t>20</w:t>
            </w:r>
            <w:r>
              <w:rPr>
                <w:sz w:val="24"/>
                <w:vertAlign w:val="superscript"/>
              </w:rPr>
              <w:t>th</w:t>
            </w:r>
            <w:r>
              <w:rPr>
                <w:sz w:val="24"/>
              </w:rPr>
              <w:t xml:space="preserve"> Percentile</w:t>
            </w:r>
          </w:p>
        </w:tc>
        <w:tc>
          <w:tcPr>
            <w:tcW w:w="2160" w:type="dxa"/>
          </w:tcPr>
          <w:p w:rsidR="0024789D" w:rsidRDefault="00501B3E">
            <w:pPr>
              <w:jc w:val="both"/>
              <w:rPr>
                <w:sz w:val="24"/>
              </w:rPr>
            </w:pPr>
            <w:r>
              <w:rPr>
                <w:sz w:val="24"/>
              </w:rPr>
              <w:t>0.002772</w:t>
            </w:r>
          </w:p>
        </w:tc>
      </w:tr>
    </w:tbl>
    <w:p w:rsidR="0024789D" w:rsidRDefault="0024789D">
      <w:pPr>
        <w:jc w:val="both"/>
        <w:rPr>
          <w:b/>
          <w:sz w:val="24"/>
        </w:rPr>
      </w:pPr>
    </w:p>
    <w:p w:rsidR="0024789D" w:rsidRDefault="00501B3E">
      <w:pPr>
        <w:jc w:val="both"/>
        <w:rPr>
          <w:sz w:val="24"/>
        </w:rPr>
      </w:pPr>
      <w:r>
        <w:rPr>
          <w:sz w:val="24"/>
        </w:rPr>
        <w:t xml:space="preserve">The receiving water body was characterized using sampling station #2 (CHRISTIANSEN WASH UPSTREAM OF MINE FACILITY). </w:t>
      </w:r>
    </w:p>
    <w:p w:rsidR="0024789D" w:rsidRDefault="0024789D">
      <w:pPr>
        <w:jc w:val="both"/>
        <w:rPr>
          <w:sz w:val="24"/>
        </w:rPr>
      </w:pPr>
    </w:p>
    <w:p w:rsidR="0024789D" w:rsidRDefault="00501B3E">
      <w:pPr>
        <w:jc w:val="both"/>
        <w:rPr>
          <w:sz w:val="24"/>
        </w:rPr>
      </w:pPr>
      <w:r>
        <w:rPr>
          <w:sz w:val="24"/>
        </w:rPr>
        <w:t xml:space="preserve">The discharge data was characterized using site UT0022616-003 (UT0022616-003 SED POND #6 Q TO QUITCHUP) for the period 2002-2022. Details are summarized in </w:t>
      </w:r>
      <w:r>
        <w:rPr>
          <w:b/>
          <w:sz w:val="24"/>
        </w:rPr>
        <w:t>Table 4</w:t>
      </w:r>
      <w:r>
        <w:rPr>
          <w:sz w:val="24"/>
        </w:rPr>
        <w:t>.</w:t>
      </w:r>
    </w:p>
    <w:p w:rsidR="0024789D" w:rsidRDefault="0024789D">
      <w:pPr>
        <w:jc w:val="both"/>
        <w:rPr>
          <w:sz w:val="24"/>
        </w:rPr>
      </w:pPr>
    </w:p>
    <w:p w:rsidR="0024789D" w:rsidRDefault="00501B3E" w:rsidP="007C2DDF">
      <w:pPr>
        <w:pBdr>
          <w:top w:val="nil"/>
          <w:left w:val="nil"/>
          <w:bottom w:val="nil"/>
          <w:right w:val="nil"/>
          <w:between w:val="nil"/>
        </w:pBdr>
        <w:rPr>
          <w:color w:val="000000"/>
          <w:sz w:val="24"/>
        </w:rPr>
      </w:pPr>
      <w:bookmarkStart w:id="5" w:name="_heading=h.tyjcwt" w:colFirst="0" w:colLast="0"/>
      <w:bookmarkEnd w:id="5"/>
      <w:r>
        <w:rPr>
          <w:color w:val="000000"/>
          <w:sz w:val="24"/>
        </w:rPr>
        <w:t>Table 4. WLA Data sources for Outfall 009</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1456"/>
        <w:gridCol w:w="1735"/>
        <w:gridCol w:w="974"/>
        <w:gridCol w:w="1820"/>
        <w:gridCol w:w="1415"/>
      </w:tblGrid>
      <w:tr w:rsidR="0024789D" w:rsidRPr="007C2DDF">
        <w:tc>
          <w:tcPr>
            <w:tcW w:w="1950" w:type="dxa"/>
          </w:tcPr>
          <w:p w:rsidR="0024789D" w:rsidRPr="007C2DDF" w:rsidRDefault="00501B3E" w:rsidP="007C2DDF">
            <w:pPr>
              <w:rPr>
                <w:color w:val="000000"/>
                <w:sz w:val="24"/>
              </w:rPr>
            </w:pPr>
            <w:r w:rsidRPr="007C2DDF">
              <w:rPr>
                <w:color w:val="000000"/>
                <w:sz w:val="24"/>
              </w:rPr>
              <w:t>Site Description</w:t>
            </w:r>
          </w:p>
        </w:tc>
        <w:tc>
          <w:tcPr>
            <w:tcW w:w="1456" w:type="dxa"/>
          </w:tcPr>
          <w:p w:rsidR="0024789D" w:rsidRPr="007C2DDF" w:rsidRDefault="00501B3E" w:rsidP="007C2DDF">
            <w:pPr>
              <w:rPr>
                <w:color w:val="000000"/>
                <w:sz w:val="24"/>
              </w:rPr>
            </w:pPr>
            <w:r w:rsidRPr="007C2DDF">
              <w:rPr>
                <w:color w:val="000000"/>
                <w:sz w:val="24"/>
              </w:rPr>
              <w:t>Name</w:t>
            </w:r>
          </w:p>
        </w:tc>
        <w:tc>
          <w:tcPr>
            <w:tcW w:w="1735" w:type="dxa"/>
          </w:tcPr>
          <w:p w:rsidR="0024789D" w:rsidRPr="007C2DDF" w:rsidRDefault="00501B3E" w:rsidP="007C2DDF">
            <w:pPr>
              <w:rPr>
                <w:color w:val="000000"/>
                <w:sz w:val="24"/>
              </w:rPr>
            </w:pPr>
            <w:r w:rsidRPr="007C2DDF">
              <w:rPr>
                <w:color w:val="000000"/>
                <w:sz w:val="24"/>
              </w:rPr>
              <w:t>Type</w:t>
            </w:r>
          </w:p>
        </w:tc>
        <w:tc>
          <w:tcPr>
            <w:tcW w:w="974" w:type="dxa"/>
          </w:tcPr>
          <w:p w:rsidR="0024789D" w:rsidRPr="007C2DDF" w:rsidRDefault="00501B3E" w:rsidP="007C2DDF">
            <w:pPr>
              <w:rPr>
                <w:color w:val="000000"/>
                <w:sz w:val="24"/>
              </w:rPr>
            </w:pPr>
            <w:r w:rsidRPr="007C2DDF">
              <w:rPr>
                <w:color w:val="000000"/>
                <w:sz w:val="24"/>
              </w:rPr>
              <w:t>Period</w:t>
            </w:r>
          </w:p>
        </w:tc>
        <w:tc>
          <w:tcPr>
            <w:tcW w:w="1820" w:type="dxa"/>
          </w:tcPr>
          <w:p w:rsidR="0024789D" w:rsidRPr="007C2DDF" w:rsidRDefault="00501B3E" w:rsidP="007C2DDF">
            <w:pPr>
              <w:rPr>
                <w:color w:val="000000"/>
                <w:sz w:val="24"/>
              </w:rPr>
            </w:pPr>
            <w:r w:rsidRPr="007C2DDF">
              <w:rPr>
                <w:color w:val="000000"/>
                <w:sz w:val="24"/>
              </w:rPr>
              <w:t>Data Source</w:t>
            </w:r>
          </w:p>
        </w:tc>
        <w:tc>
          <w:tcPr>
            <w:tcW w:w="1415" w:type="dxa"/>
          </w:tcPr>
          <w:p w:rsidR="0024789D" w:rsidRPr="007C2DDF" w:rsidRDefault="00501B3E" w:rsidP="007C2DDF">
            <w:pPr>
              <w:rPr>
                <w:color w:val="000000"/>
                <w:sz w:val="24"/>
              </w:rPr>
            </w:pPr>
            <w:r w:rsidRPr="007C2DDF">
              <w:rPr>
                <w:color w:val="000000"/>
                <w:sz w:val="24"/>
              </w:rPr>
              <w:t>Comment</w:t>
            </w:r>
          </w:p>
        </w:tc>
      </w:tr>
      <w:tr w:rsidR="0024789D">
        <w:tc>
          <w:tcPr>
            <w:tcW w:w="1950" w:type="dxa"/>
          </w:tcPr>
          <w:p w:rsidR="0024789D" w:rsidRDefault="00501B3E">
            <w:pPr>
              <w:rPr>
                <w:sz w:val="24"/>
              </w:rPr>
            </w:pPr>
            <w:r>
              <w:rPr>
                <w:sz w:val="24"/>
              </w:rPr>
              <w:t>CHRISTIANSEN WASH UPSTREAM OF MINE FACIL</w:t>
            </w:r>
          </w:p>
        </w:tc>
        <w:tc>
          <w:tcPr>
            <w:tcW w:w="1456" w:type="dxa"/>
          </w:tcPr>
          <w:p w:rsidR="0024789D" w:rsidRDefault="00501B3E">
            <w:pPr>
              <w:jc w:val="both"/>
              <w:rPr>
                <w:sz w:val="24"/>
              </w:rPr>
            </w:pPr>
            <w:r>
              <w:rPr>
                <w:sz w:val="24"/>
              </w:rPr>
              <w:t>2.0</w:t>
            </w:r>
          </w:p>
        </w:tc>
        <w:tc>
          <w:tcPr>
            <w:tcW w:w="1735" w:type="dxa"/>
          </w:tcPr>
          <w:p w:rsidR="0024789D" w:rsidRDefault="00501B3E">
            <w:pPr>
              <w:jc w:val="both"/>
              <w:rPr>
                <w:sz w:val="24"/>
              </w:rPr>
            </w:pPr>
            <w:r>
              <w:rPr>
                <w:sz w:val="24"/>
              </w:rPr>
              <w:t>Stream</w:t>
            </w:r>
          </w:p>
        </w:tc>
        <w:tc>
          <w:tcPr>
            <w:tcW w:w="974" w:type="dxa"/>
          </w:tcPr>
          <w:p w:rsidR="0024789D" w:rsidRDefault="00501B3E">
            <w:pPr>
              <w:jc w:val="both"/>
              <w:rPr>
                <w:sz w:val="24"/>
              </w:rPr>
            </w:pPr>
            <w:r>
              <w:rPr>
                <w:sz w:val="24"/>
              </w:rPr>
              <w:t>2002-2022</w:t>
            </w:r>
          </w:p>
        </w:tc>
        <w:tc>
          <w:tcPr>
            <w:tcW w:w="1820" w:type="dxa"/>
          </w:tcPr>
          <w:p w:rsidR="0024789D" w:rsidRDefault="00501B3E">
            <w:pPr>
              <w:jc w:val="both"/>
              <w:rPr>
                <w:sz w:val="24"/>
              </w:rPr>
            </w:pPr>
            <w:r>
              <w:rPr>
                <w:sz w:val="24"/>
              </w:rPr>
              <w:t>Division of Oil, Gas and Mining (DOGM)</w:t>
            </w:r>
          </w:p>
        </w:tc>
        <w:tc>
          <w:tcPr>
            <w:tcW w:w="1415" w:type="dxa"/>
          </w:tcPr>
          <w:p w:rsidR="0024789D" w:rsidRDefault="00501B3E">
            <w:pPr>
              <w:jc w:val="both"/>
              <w:rPr>
                <w:sz w:val="24"/>
              </w:rPr>
            </w:pPr>
            <w:r>
              <w:rPr>
                <w:sz w:val="24"/>
              </w:rPr>
              <w:t>Upstream data source</w:t>
            </w:r>
          </w:p>
        </w:tc>
      </w:tr>
      <w:tr w:rsidR="0024789D">
        <w:trPr>
          <w:trHeight w:val="188"/>
        </w:trPr>
        <w:tc>
          <w:tcPr>
            <w:tcW w:w="1950" w:type="dxa"/>
          </w:tcPr>
          <w:p w:rsidR="0024789D" w:rsidRDefault="0024789D">
            <w:pPr>
              <w:jc w:val="both"/>
              <w:rPr>
                <w:sz w:val="24"/>
              </w:rPr>
            </w:pPr>
          </w:p>
        </w:tc>
        <w:tc>
          <w:tcPr>
            <w:tcW w:w="1456" w:type="dxa"/>
          </w:tcPr>
          <w:p w:rsidR="0024789D" w:rsidRDefault="0024789D">
            <w:pPr>
              <w:jc w:val="both"/>
              <w:rPr>
                <w:sz w:val="24"/>
              </w:rPr>
            </w:pPr>
          </w:p>
        </w:tc>
        <w:tc>
          <w:tcPr>
            <w:tcW w:w="1735" w:type="dxa"/>
          </w:tcPr>
          <w:p w:rsidR="0024789D" w:rsidRDefault="0024789D">
            <w:pPr>
              <w:jc w:val="both"/>
              <w:rPr>
                <w:sz w:val="24"/>
              </w:rPr>
            </w:pPr>
          </w:p>
        </w:tc>
        <w:tc>
          <w:tcPr>
            <w:tcW w:w="974" w:type="dxa"/>
          </w:tcPr>
          <w:p w:rsidR="0024789D" w:rsidRDefault="0024789D">
            <w:pPr>
              <w:jc w:val="both"/>
              <w:rPr>
                <w:sz w:val="24"/>
              </w:rPr>
            </w:pPr>
          </w:p>
        </w:tc>
        <w:tc>
          <w:tcPr>
            <w:tcW w:w="1820" w:type="dxa"/>
          </w:tcPr>
          <w:p w:rsidR="0024789D" w:rsidRDefault="0024789D">
            <w:pPr>
              <w:jc w:val="both"/>
              <w:rPr>
                <w:sz w:val="24"/>
              </w:rPr>
            </w:pPr>
          </w:p>
        </w:tc>
        <w:tc>
          <w:tcPr>
            <w:tcW w:w="1415" w:type="dxa"/>
          </w:tcPr>
          <w:p w:rsidR="0024789D" w:rsidRDefault="0024789D">
            <w:pPr>
              <w:jc w:val="both"/>
              <w:rPr>
                <w:sz w:val="24"/>
              </w:rPr>
            </w:pPr>
          </w:p>
        </w:tc>
      </w:tr>
      <w:tr w:rsidR="0024789D">
        <w:tc>
          <w:tcPr>
            <w:tcW w:w="1950" w:type="dxa"/>
          </w:tcPr>
          <w:p w:rsidR="0024789D" w:rsidRDefault="00501B3E">
            <w:pPr>
              <w:rPr>
                <w:sz w:val="24"/>
              </w:rPr>
            </w:pPr>
            <w:r>
              <w:rPr>
                <w:sz w:val="24"/>
              </w:rPr>
              <w:t>UT0022616-003 SED POND #6 Q TO QUITCHUP</w:t>
            </w:r>
          </w:p>
        </w:tc>
        <w:tc>
          <w:tcPr>
            <w:tcW w:w="1456" w:type="dxa"/>
          </w:tcPr>
          <w:p w:rsidR="0024789D" w:rsidRDefault="00501B3E">
            <w:pPr>
              <w:rPr>
                <w:sz w:val="24"/>
              </w:rPr>
            </w:pPr>
            <w:r>
              <w:rPr>
                <w:sz w:val="24"/>
              </w:rPr>
              <w:t>UT0022616-003</w:t>
            </w:r>
          </w:p>
        </w:tc>
        <w:tc>
          <w:tcPr>
            <w:tcW w:w="1735" w:type="dxa"/>
          </w:tcPr>
          <w:p w:rsidR="0024789D" w:rsidRDefault="00501B3E">
            <w:pPr>
              <w:rPr>
                <w:sz w:val="24"/>
              </w:rPr>
            </w:pPr>
            <w:r>
              <w:rPr>
                <w:sz w:val="24"/>
              </w:rPr>
              <w:t>UPDES Permit discharge point</w:t>
            </w:r>
          </w:p>
        </w:tc>
        <w:tc>
          <w:tcPr>
            <w:tcW w:w="974" w:type="dxa"/>
          </w:tcPr>
          <w:p w:rsidR="0024789D" w:rsidRDefault="00501B3E">
            <w:pPr>
              <w:rPr>
                <w:sz w:val="24"/>
              </w:rPr>
            </w:pPr>
            <w:r>
              <w:rPr>
                <w:sz w:val="24"/>
              </w:rPr>
              <w:t>2002-2022</w:t>
            </w:r>
          </w:p>
        </w:tc>
        <w:tc>
          <w:tcPr>
            <w:tcW w:w="1820" w:type="dxa"/>
          </w:tcPr>
          <w:p w:rsidR="0024789D" w:rsidRDefault="00501B3E">
            <w:pPr>
              <w:rPr>
                <w:sz w:val="24"/>
              </w:rPr>
            </w:pPr>
            <w:r>
              <w:rPr>
                <w:sz w:val="24"/>
              </w:rPr>
              <w:t>Division of Oil, Gas and Mining (DOGM)</w:t>
            </w:r>
          </w:p>
        </w:tc>
        <w:tc>
          <w:tcPr>
            <w:tcW w:w="1415" w:type="dxa"/>
          </w:tcPr>
          <w:p w:rsidR="0024789D" w:rsidRDefault="00501B3E">
            <w:pPr>
              <w:rPr>
                <w:sz w:val="24"/>
              </w:rPr>
            </w:pPr>
            <w:r>
              <w:rPr>
                <w:sz w:val="24"/>
              </w:rPr>
              <w:t>Discharge date source</w:t>
            </w:r>
          </w:p>
        </w:tc>
      </w:tr>
    </w:tbl>
    <w:p w:rsidR="0024789D" w:rsidRDefault="00501B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u w:val="single"/>
        </w:rPr>
      </w:pPr>
      <w:r>
        <w:rPr>
          <w:b/>
          <w:sz w:val="24"/>
          <w:u w:val="single"/>
        </w:rPr>
        <w:lastRenderedPageBreak/>
        <w:t>TMDL</w:t>
      </w:r>
    </w:p>
    <w:p w:rsidR="0024789D" w:rsidRDefault="00501B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According to the Utah’s 2022 303(d) Water Quality Assessment, the assessment unit for this section of Quitchupah Creek (Quitchipah Creek and tributaries from confluence with Ivie Creek to U-10 crossing; UT14070002-007_00) was listed as impaired for benthic invertebrate assessment and total dissolved solids (TDS). TDS values in this area are naturally elevated due to the presence of shale layers. Several site-specific TDS standards have been developed in the watershed (Quitchupah, Ivie and Muddy Creeks).  Quitchupah Creek’s listing for TDS was based</w:t>
      </w:r>
      <w:bookmarkStart w:id="6" w:name="_GoBack"/>
      <w:bookmarkEnd w:id="6"/>
      <w:r>
        <w:rPr>
          <w:sz w:val="24"/>
        </w:rPr>
        <w:t xml:space="preserve"> on samples obtained from Christiansen Wash, a tributary to Quitchupah Creek, where values were compared to the state standard of 1200 mg/l, instead of Quitchupah Creek’s site-specific standard of 3,800 mg/l. While it shares the same characteristics as Quitchupah, Christiansen Wash was inadvertently not included in the site-specific language for Quitchupah Creek and should share the same 3,800 mg/l standard.  The standard will be modified in the upcoming triannual review.</w:t>
      </w:r>
    </w:p>
    <w:p w:rsidR="0024789D" w:rsidRDefault="002478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4789D" w:rsidRDefault="002478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u w:val="single"/>
        </w:rPr>
      </w:pPr>
    </w:p>
    <w:p w:rsidR="0024789D" w:rsidRDefault="00501B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u w:val="single"/>
        </w:rPr>
      </w:pPr>
      <w:r>
        <w:rPr>
          <w:b/>
          <w:sz w:val="24"/>
          <w:u w:val="single"/>
        </w:rPr>
        <w:t>Mixing Zone</w:t>
      </w:r>
    </w:p>
    <w:p w:rsidR="0024789D" w:rsidRDefault="00501B3E">
      <w:pPr>
        <w:jc w:val="both"/>
        <w:rPr>
          <w:sz w:val="24"/>
        </w:rPr>
      </w:pPr>
      <w:r>
        <w:rPr>
          <w:sz w:val="24"/>
        </w:rPr>
        <w:t xml:space="preserve">The maximum allowable mixing zone is 15 minutes of travel time for acute conditions, not to exceed 50% of stream width, and 2,500 feet for chronic conditions, per UAC R317-2-5.  Water quality standards must be met at the end of the mixing zone. </w:t>
      </w:r>
    </w:p>
    <w:p w:rsidR="0024789D" w:rsidRDefault="0024789D">
      <w:pPr>
        <w:jc w:val="both"/>
        <w:rPr>
          <w:sz w:val="24"/>
        </w:rPr>
      </w:pPr>
    </w:p>
    <w:p w:rsidR="0024789D" w:rsidRDefault="00501B3E">
      <w:pPr>
        <w:jc w:val="both"/>
        <w:rPr>
          <w:sz w:val="24"/>
        </w:rPr>
      </w:pPr>
      <w:r>
        <w:rPr>
          <w:sz w:val="24"/>
        </w:rPr>
        <w:t>Since the receiving water low flow is equal to or less than twice the flow of a point source discharge, the combined flows are considered to be totally mixed. Acute limits were calculated using 50% of the seasonal critical low flow.</w:t>
      </w:r>
    </w:p>
    <w:p w:rsidR="0024789D" w:rsidRDefault="0024789D">
      <w:pPr>
        <w:jc w:val="both"/>
        <w:rPr>
          <w:sz w:val="24"/>
        </w:rPr>
      </w:pPr>
    </w:p>
    <w:p w:rsidR="0024789D" w:rsidRDefault="002478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u w:val="single"/>
        </w:rPr>
      </w:pPr>
    </w:p>
    <w:p w:rsidR="0024789D" w:rsidRDefault="00501B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u w:val="single"/>
        </w:rPr>
      </w:pPr>
      <w:r>
        <w:rPr>
          <w:b/>
          <w:sz w:val="24"/>
          <w:u w:val="single"/>
        </w:rPr>
        <w:t>Parameters of Concern</w:t>
      </w:r>
    </w:p>
    <w:p w:rsidR="0024789D" w:rsidRDefault="00501B3E">
      <w:pPr>
        <w:jc w:val="both"/>
        <w:rPr>
          <w:sz w:val="24"/>
        </w:rPr>
      </w:pPr>
      <w:r>
        <w:rPr>
          <w:sz w:val="24"/>
        </w:rPr>
        <w:t xml:space="preserve">The potential parameters of concern identified for the discharge/receiving water were TDS, sulfate and iron, as determined in consultation with the UPDES Permit Writer. </w:t>
      </w:r>
    </w:p>
    <w:p w:rsidR="0024789D" w:rsidRDefault="0024789D">
      <w:pPr>
        <w:jc w:val="both"/>
        <w:rPr>
          <w:sz w:val="24"/>
          <w:u w:val="single"/>
        </w:rPr>
      </w:pPr>
    </w:p>
    <w:p w:rsidR="0024789D" w:rsidRDefault="0024789D">
      <w:pPr>
        <w:jc w:val="both"/>
        <w:rPr>
          <w:sz w:val="24"/>
          <w:u w:val="single"/>
        </w:rPr>
      </w:pPr>
    </w:p>
    <w:p w:rsidR="0024789D" w:rsidRDefault="00501B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u w:val="single"/>
        </w:rPr>
      </w:pPr>
      <w:r>
        <w:rPr>
          <w:b/>
          <w:sz w:val="24"/>
          <w:u w:val="single"/>
        </w:rPr>
        <w:t>WET Limits</w:t>
      </w:r>
    </w:p>
    <w:p w:rsidR="0024789D" w:rsidRDefault="00501B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The percent of effluent in the receiving water in a fully mixed condition, and acute and chronic dilution in a not fully mixed condition are calculated in the WLA in order to generate WET limits. The LC</w:t>
      </w:r>
      <w:r>
        <w:rPr>
          <w:sz w:val="24"/>
          <w:vertAlign w:val="subscript"/>
        </w:rPr>
        <w:t>50</w:t>
      </w:r>
      <w:r>
        <w:rPr>
          <w:sz w:val="24"/>
        </w:rPr>
        <w:t xml:space="preserve"> (lethal concentration, 50%) percent effluent for acute toxicity and the IC</w:t>
      </w:r>
      <w:r>
        <w:rPr>
          <w:sz w:val="24"/>
          <w:vertAlign w:val="subscript"/>
        </w:rPr>
        <w:t>25</w:t>
      </w:r>
      <w:r>
        <w:rPr>
          <w:sz w:val="24"/>
        </w:rPr>
        <w:t xml:space="preserve"> (inhibition concentration, 25%) percent effluent for chronic toxicity, as determined by the WET test, needs to be below the WET limits, as determined by the WLA.  The WET limit for LC</w:t>
      </w:r>
      <w:r>
        <w:rPr>
          <w:sz w:val="24"/>
          <w:vertAlign w:val="subscript"/>
        </w:rPr>
        <w:t>50</w:t>
      </w:r>
      <w:r>
        <w:rPr>
          <w:sz w:val="24"/>
        </w:rPr>
        <w:t xml:space="preserve"> is typically 100% effluent and does not need to be determined by the WLA.  </w:t>
      </w:r>
    </w:p>
    <w:p w:rsidR="0024789D" w:rsidRDefault="002478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4789D" w:rsidRDefault="00501B3E">
      <w:pPr>
        <w:jc w:val="both"/>
        <w:rPr>
          <w:sz w:val="24"/>
        </w:rPr>
      </w:pPr>
      <w:r>
        <w:rPr>
          <w:sz w:val="24"/>
        </w:rPr>
        <w:t>IC25 WET limits for Outfalls 001-008 should be based on 57.6% effluent.</w:t>
      </w:r>
    </w:p>
    <w:p w:rsidR="0024789D" w:rsidRDefault="00501B3E">
      <w:pPr>
        <w:jc w:val="both"/>
        <w:rPr>
          <w:sz w:val="24"/>
        </w:rPr>
      </w:pPr>
      <w:r>
        <w:rPr>
          <w:sz w:val="24"/>
        </w:rPr>
        <w:t>IC25 WET limits for Outfall 009 should be based on 84.1% effluent.</w:t>
      </w:r>
    </w:p>
    <w:p w:rsidR="0024789D" w:rsidRDefault="002478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4789D" w:rsidRDefault="002478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4789D" w:rsidRDefault="00501B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u w:val="single"/>
        </w:rPr>
      </w:pPr>
      <w:bookmarkStart w:id="7" w:name="_heading=h.3dy6vkm" w:colFirst="0" w:colLast="0"/>
      <w:bookmarkEnd w:id="7"/>
      <w:r>
        <w:rPr>
          <w:b/>
          <w:sz w:val="24"/>
          <w:u w:val="single"/>
        </w:rPr>
        <w:t>Wasteload Allocation Methods</w:t>
      </w:r>
    </w:p>
    <w:p w:rsidR="0024789D" w:rsidRDefault="00501B3E">
      <w:pPr>
        <w:jc w:val="both"/>
        <w:rPr>
          <w:sz w:val="24"/>
        </w:rPr>
      </w:pPr>
      <w:r>
        <w:rPr>
          <w:sz w:val="24"/>
        </w:rPr>
        <w:t>Effluent limits were determined for conservative constituents using a simple mass balance mixing analysis (UDWQ 2012). The mass balance analysis is summarized in the Wasteload Addendums.</w:t>
      </w:r>
    </w:p>
    <w:p w:rsidR="0024789D" w:rsidRDefault="0024789D">
      <w:pPr>
        <w:jc w:val="both"/>
        <w:rPr>
          <w:sz w:val="24"/>
        </w:rPr>
      </w:pPr>
    </w:p>
    <w:p w:rsidR="0024789D" w:rsidRDefault="00501B3E">
      <w:pPr>
        <w:jc w:val="both"/>
        <w:rPr>
          <w:sz w:val="24"/>
        </w:rPr>
      </w:pPr>
      <w:r>
        <w:rPr>
          <w:sz w:val="24"/>
        </w:rPr>
        <w:lastRenderedPageBreak/>
        <w:t>The water quality standard for chronic ammonia toxicity is dependent on temperature and pH, and the water quality standard for acute ammonia toxicity is dependent on pH.  The AMMTOX Model developed by University of Colorado and adapted by Utah DWQ and EPA Region VIII was used to determine ammonia effluent limits (Lewis et al. 2002). The analysis is summarized in the Wasteload Addendum.</w:t>
      </w:r>
    </w:p>
    <w:p w:rsidR="0024789D" w:rsidRDefault="002478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4789D" w:rsidRDefault="00501B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Models and supporting documentation are available for review upon request.</w:t>
      </w:r>
    </w:p>
    <w:p w:rsidR="0024789D" w:rsidRDefault="002478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4789D" w:rsidRDefault="002478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4789D" w:rsidRDefault="00501B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u w:val="single"/>
        </w:rPr>
      </w:pPr>
      <w:r>
        <w:rPr>
          <w:b/>
          <w:sz w:val="24"/>
          <w:u w:val="single"/>
        </w:rPr>
        <w:t>Antidegradation Level I Review</w:t>
      </w:r>
    </w:p>
    <w:p w:rsidR="0024789D" w:rsidRDefault="00501B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The objective of the Level I ADR is to ensure the protection of existing uses, defined as the beneficial uses attained in the receiving water on or after November 28, 1975.  No evidence is known that the existing uses deviate from the designated beneficial uses for the receiving water.  Therefore, the beneficial uses will be protected if the discharge remains below the WQBELs presented in this wasteload.</w:t>
      </w:r>
    </w:p>
    <w:p w:rsidR="0024789D" w:rsidRDefault="002478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4789D" w:rsidRDefault="00501B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A Level II Antidegradation Review (ADR) is required for this facility.  The proposed permit </w:t>
      </w:r>
      <w:r w:rsidR="003403B3">
        <w:rPr>
          <w:sz w:val="24"/>
        </w:rPr>
        <w:t>ha</w:t>
      </w:r>
      <w:r>
        <w:rPr>
          <w:sz w:val="24"/>
        </w:rPr>
        <w:t xml:space="preserve">s an increase </w:t>
      </w:r>
      <w:r w:rsidR="003403B3">
        <w:rPr>
          <w:sz w:val="24"/>
        </w:rPr>
        <w:t>of</w:t>
      </w:r>
      <w:r>
        <w:rPr>
          <w:sz w:val="24"/>
        </w:rPr>
        <w:t xml:space="preserve"> </w:t>
      </w:r>
      <w:r w:rsidR="003403B3">
        <w:rPr>
          <w:sz w:val="24"/>
        </w:rPr>
        <w:t xml:space="preserve">total effluent </w:t>
      </w:r>
      <w:r>
        <w:rPr>
          <w:sz w:val="24"/>
        </w:rPr>
        <w:t xml:space="preserve">flow </w:t>
      </w:r>
      <w:r w:rsidR="003403B3">
        <w:rPr>
          <w:sz w:val="24"/>
        </w:rPr>
        <w:t xml:space="preserve">to 3.0 mgd </w:t>
      </w:r>
      <w:r>
        <w:rPr>
          <w:sz w:val="24"/>
        </w:rPr>
        <w:t>from the existing UPDES permit</w:t>
      </w:r>
      <w:r w:rsidR="003403B3">
        <w:rPr>
          <w:sz w:val="24"/>
        </w:rPr>
        <w:t xml:space="preserve"> of 1.5 mgd</w:t>
      </w:r>
      <w:r>
        <w:rPr>
          <w:sz w:val="24"/>
        </w:rPr>
        <w:t xml:space="preserve">.  </w:t>
      </w:r>
    </w:p>
    <w:p w:rsidR="0024789D" w:rsidRDefault="002478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u w:val="single"/>
        </w:rPr>
      </w:pPr>
    </w:p>
    <w:p w:rsidR="0024789D" w:rsidRDefault="002478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u w:val="single"/>
        </w:rPr>
      </w:pPr>
    </w:p>
    <w:p w:rsidR="0024789D" w:rsidRDefault="00501B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u w:val="single"/>
        </w:rPr>
      </w:pPr>
      <w:r>
        <w:rPr>
          <w:sz w:val="24"/>
          <w:u w:val="single"/>
        </w:rPr>
        <w:br/>
      </w:r>
      <w:r>
        <w:rPr>
          <w:b/>
          <w:sz w:val="24"/>
          <w:u w:val="single"/>
        </w:rPr>
        <w:t>Documents:</w:t>
      </w:r>
    </w:p>
    <w:p w:rsidR="0024789D" w:rsidRDefault="00501B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WLA Document</w:t>
      </w:r>
      <w:r>
        <w:rPr>
          <w:i/>
        </w:rPr>
        <w:t xml:space="preserve">: </w:t>
      </w:r>
      <w:proofErr w:type="spellStart"/>
      <w:r>
        <w:rPr>
          <w:i/>
        </w:rPr>
        <w:t>Bronco_Emery</w:t>
      </w:r>
      <w:proofErr w:type="spellEnd"/>
      <w:r>
        <w:rPr>
          <w:i/>
        </w:rPr>
        <w:t xml:space="preserve"> WLADoc_2022.docx</w:t>
      </w:r>
    </w:p>
    <w:p w:rsidR="0024789D" w:rsidRDefault="00501B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u w:val="single"/>
        </w:rPr>
      </w:pPr>
      <w:proofErr w:type="gramStart"/>
      <w:r>
        <w:rPr>
          <w:b/>
          <w:sz w:val="24"/>
          <w:u w:val="single"/>
        </w:rPr>
        <w:t>Wasteload  Analysis</w:t>
      </w:r>
      <w:proofErr w:type="gramEnd"/>
      <w:r>
        <w:rPr>
          <w:b/>
          <w:sz w:val="24"/>
          <w:u w:val="single"/>
        </w:rPr>
        <w:t xml:space="preserve"> and Addendums: </w:t>
      </w:r>
    </w:p>
    <w:p w:rsidR="0024789D" w:rsidRDefault="00501B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i/>
        </w:rPr>
        <w:t>Bronco_Emery_001-008_WLA_2022.xlsm,</w:t>
      </w:r>
      <w:r>
        <w:t xml:space="preserve"> </w:t>
      </w:r>
    </w:p>
    <w:p w:rsidR="0024789D" w:rsidRDefault="00501B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Pr>
          <w:i/>
        </w:rPr>
        <w:t>Bronco_Emery_009_WLA_2022.xlsm</w:t>
      </w:r>
    </w:p>
    <w:p w:rsidR="0024789D" w:rsidRDefault="002478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u w:val="single"/>
        </w:rPr>
      </w:pPr>
    </w:p>
    <w:p w:rsidR="0024789D" w:rsidRDefault="002478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u w:val="single"/>
        </w:rPr>
      </w:pPr>
    </w:p>
    <w:p w:rsidR="0024789D" w:rsidRDefault="00501B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u w:val="single"/>
        </w:rPr>
      </w:pPr>
      <w:r>
        <w:rPr>
          <w:b/>
          <w:sz w:val="24"/>
          <w:u w:val="single"/>
        </w:rPr>
        <w:t>References:</w:t>
      </w:r>
    </w:p>
    <w:p w:rsidR="0024789D" w:rsidRDefault="00501B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Utah Division of Water Quality. 2012. </w:t>
      </w:r>
      <w:r>
        <w:rPr>
          <w:i/>
        </w:rPr>
        <w:t>Utah Wasteload Analysis Procedures Version 1.0</w:t>
      </w:r>
      <w:r>
        <w:t xml:space="preserve">. </w:t>
      </w:r>
    </w:p>
    <w:p w:rsidR="0024789D" w:rsidRDefault="002478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4789D" w:rsidRDefault="002478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4789D" w:rsidRDefault="002478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4789D" w:rsidRDefault="002478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sectPr w:rsidR="0024789D">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6BA" w:rsidRDefault="002D16BA">
      <w:r>
        <w:separator/>
      </w:r>
    </w:p>
  </w:endnote>
  <w:endnote w:type="continuationSeparator" w:id="0">
    <w:p w:rsidR="002D16BA" w:rsidRDefault="002D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U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89D" w:rsidRDefault="00501B3E">
    <w:pPr>
      <w:tabs>
        <w:tab w:val="center" w:pos="4680"/>
      </w:tabs>
      <w:rPr>
        <w:rFonts w:ascii="Times" w:eastAsia="Times" w:hAnsi="Times" w:cs="Times"/>
      </w:rPr>
    </w:pPr>
    <w:r>
      <w:rPr>
        <w:rFonts w:ascii="Times" w:eastAsia="Times" w:hAnsi="Times" w:cs="Times"/>
      </w:rPr>
      <w:tab/>
      <w:t xml:space="preserve">Page </w:t>
    </w:r>
    <w:r>
      <w:fldChar w:fldCharType="begin"/>
    </w:r>
    <w:r>
      <w:instrText>PAGE</w:instrText>
    </w:r>
    <w:r>
      <w:fldChar w:fldCharType="separate"/>
    </w:r>
    <w:r w:rsidR="007C2DDF">
      <w:rPr>
        <w:noProof/>
      </w:rPr>
      <w:t>2</w:t>
    </w:r>
    <w:r>
      <w:fldChar w:fldCharType="end"/>
    </w:r>
    <w:r>
      <w:t xml:space="preserve"> of </w:t>
    </w:r>
    <w:r>
      <w:fldChar w:fldCharType="begin"/>
    </w:r>
    <w:r>
      <w:instrText>NUMPAGES</w:instrText>
    </w:r>
    <w:r>
      <w:fldChar w:fldCharType="separate"/>
    </w:r>
    <w:r w:rsidR="007C2DDF">
      <w:rPr>
        <w:noProof/>
      </w:rPr>
      <w:t>2</w:t>
    </w:r>
    <w:r>
      <w:fldChar w:fldCharType="end"/>
    </w:r>
  </w:p>
  <w:p w:rsidR="0024789D" w:rsidRDefault="0024789D">
    <w:pPr>
      <w:rPr>
        <w:rFonts w:ascii="Times" w:eastAsia="Times" w:hAnsi="Times" w:cs="Tim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89D" w:rsidRDefault="00501B3E">
    <w:pPr>
      <w:pBdr>
        <w:top w:val="nil"/>
        <w:left w:val="nil"/>
        <w:bottom w:val="nil"/>
        <w:right w:val="nil"/>
        <w:between w:val="nil"/>
      </w:pBdr>
      <w:tabs>
        <w:tab w:val="center" w:pos="4320"/>
        <w:tab w:val="right" w:pos="8640"/>
        <w:tab w:val="center" w:pos="4680"/>
      </w:tabs>
      <w:rPr>
        <w:color w:val="000000"/>
        <w:szCs w:val="20"/>
      </w:rPr>
    </w:pPr>
    <w:r>
      <w:rPr>
        <w:color w:val="000000"/>
        <w:szCs w:val="20"/>
      </w:rPr>
      <w:tab/>
      <w:t xml:space="preserve">Page </w:t>
    </w:r>
    <w:r>
      <w:rPr>
        <w:color w:val="000000"/>
        <w:szCs w:val="20"/>
      </w:rPr>
      <w:fldChar w:fldCharType="begin"/>
    </w:r>
    <w:r>
      <w:rPr>
        <w:color w:val="000000"/>
        <w:szCs w:val="20"/>
      </w:rPr>
      <w:instrText>PAGE</w:instrText>
    </w:r>
    <w:r>
      <w:rPr>
        <w:color w:val="000000"/>
        <w:szCs w:val="20"/>
      </w:rPr>
      <w:fldChar w:fldCharType="separate"/>
    </w:r>
    <w:r w:rsidR="007C2DDF">
      <w:rPr>
        <w:noProof/>
        <w:color w:val="000000"/>
        <w:szCs w:val="20"/>
      </w:rPr>
      <w:t>1</w:t>
    </w:r>
    <w:r>
      <w:rPr>
        <w:color w:val="000000"/>
        <w:szCs w:val="20"/>
      </w:rPr>
      <w:fldChar w:fldCharType="end"/>
    </w:r>
    <w:r>
      <w:rPr>
        <w:color w:val="000000"/>
        <w:szCs w:val="20"/>
      </w:rPr>
      <w:t xml:space="preserve"> of </w:t>
    </w:r>
    <w:r>
      <w:rPr>
        <w:color w:val="000000"/>
        <w:szCs w:val="20"/>
      </w:rPr>
      <w:fldChar w:fldCharType="begin"/>
    </w:r>
    <w:r>
      <w:rPr>
        <w:color w:val="000000"/>
        <w:szCs w:val="20"/>
      </w:rPr>
      <w:instrText>NUMPAGES</w:instrText>
    </w:r>
    <w:r>
      <w:rPr>
        <w:color w:val="000000"/>
        <w:szCs w:val="20"/>
      </w:rPr>
      <w:fldChar w:fldCharType="separate"/>
    </w:r>
    <w:r w:rsidR="007C2DDF">
      <w:rPr>
        <w:noProof/>
        <w:color w:val="000000"/>
        <w:szCs w:val="20"/>
      </w:rPr>
      <w:t>1</w:t>
    </w:r>
    <w:r>
      <w:rPr>
        <w:color w:val="00000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6BA" w:rsidRDefault="002D16BA">
      <w:r>
        <w:separator/>
      </w:r>
    </w:p>
  </w:footnote>
  <w:footnote w:type="continuationSeparator" w:id="0">
    <w:p w:rsidR="002D16BA" w:rsidRDefault="002D1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89D" w:rsidRDefault="00501B3E">
    <w:pPr>
      <w:rPr>
        <w:rFonts w:ascii="Times" w:eastAsia="Times" w:hAnsi="Times" w:cs="Times"/>
      </w:rPr>
    </w:pPr>
    <w:r>
      <w:rPr>
        <w:rFonts w:ascii="Times" w:eastAsia="Times" w:hAnsi="Times" w:cs="Times"/>
        <w:b/>
      </w:rPr>
      <w:t>Utah Division of Water Quality</w:t>
    </w:r>
  </w:p>
  <w:p w:rsidR="0024789D" w:rsidRDefault="00501B3E">
    <w:pPr>
      <w:rPr>
        <w:rFonts w:ascii="Times" w:eastAsia="Times" w:hAnsi="Times" w:cs="Times"/>
        <w:b/>
      </w:rPr>
    </w:pPr>
    <w:r>
      <w:rPr>
        <w:rFonts w:ascii="Times" w:eastAsia="Times" w:hAnsi="Times" w:cs="Times"/>
        <w:b/>
      </w:rPr>
      <w:t>Wasteload Analysis</w:t>
    </w:r>
  </w:p>
  <w:p w:rsidR="0024789D" w:rsidRDefault="00501B3E">
    <w:pPr>
      <w:rPr>
        <w:b/>
      </w:rPr>
    </w:pPr>
    <w:r>
      <w:rPr>
        <w:b/>
      </w:rPr>
      <w:t>Bronco Utah Operations; Emery Deep Mine</w:t>
    </w:r>
  </w:p>
  <w:p w:rsidR="0024789D" w:rsidRDefault="00501B3E">
    <w:pPr>
      <w:rPr>
        <w:b/>
      </w:rPr>
    </w:pPr>
    <w:r>
      <w:rPr>
        <w:b/>
      </w:rPr>
      <w:t>UPDES No. UT0022616</w:t>
    </w:r>
  </w:p>
  <w:p w:rsidR="0024789D" w:rsidRDefault="0024789D">
    <w:pPr>
      <w:rPr>
        <w:rFonts w:ascii="Times" w:eastAsia="Times" w:hAnsi="Times" w:cs="Tim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89D" w:rsidRDefault="0024789D">
    <w:pPr>
      <w:pBdr>
        <w:top w:val="nil"/>
        <w:left w:val="nil"/>
        <w:bottom w:val="nil"/>
        <w:right w:val="nil"/>
        <w:between w:val="nil"/>
      </w:pBdr>
      <w:tabs>
        <w:tab w:val="center" w:pos="4320"/>
        <w:tab w:val="right" w:pos="8640"/>
      </w:tabs>
      <w:rPr>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2417F"/>
    <w:multiLevelType w:val="multilevel"/>
    <w:tmpl w:val="E780A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89D"/>
    <w:rsid w:val="0024789D"/>
    <w:rsid w:val="002D16BA"/>
    <w:rsid w:val="00332326"/>
    <w:rsid w:val="003403B3"/>
    <w:rsid w:val="00482ECF"/>
    <w:rsid w:val="004A2AD4"/>
    <w:rsid w:val="00501B3E"/>
    <w:rsid w:val="007C2DDF"/>
    <w:rsid w:val="009E4AC5"/>
    <w:rsid w:val="00AA0272"/>
    <w:rsid w:val="00BA573B"/>
    <w:rsid w:val="00BD5BDD"/>
    <w:rsid w:val="00CC205D"/>
    <w:rsid w:val="00CF389C"/>
    <w:rsid w:val="00D5608E"/>
    <w:rsid w:val="00F8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4B6A"/>
  <w15:docId w15:val="{DF1434DB-277B-4F0B-8961-8DC74982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238"/>
    <w:pPr>
      <w:autoSpaceDE w:val="0"/>
      <w:autoSpaceDN w:val="0"/>
      <w:adjustRightInd w:val="0"/>
    </w:pPr>
    <w:rPr>
      <w:szCs w:val="24"/>
    </w:rPr>
  </w:style>
  <w:style w:type="paragraph" w:styleId="Heading1">
    <w:name w:val="heading 1"/>
    <w:basedOn w:val="Normal"/>
    <w:next w:val="Normal"/>
    <w:uiPriority w:val="9"/>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TUR" w:hAnsi="Times New Roman TUR" w:cs="Times New Roman TUR"/>
      <w:b/>
      <w:bCs/>
      <w:szCs w:val="28"/>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rsid w:val="000F6A0B"/>
    <w:pPr>
      <w:spacing w:before="240" w:after="60"/>
      <w:outlineLvl w:val="4"/>
    </w:pPr>
    <w:rPr>
      <w:b/>
      <w:bCs/>
      <w:i/>
      <w:iCs/>
      <w:sz w:val="26"/>
      <w:szCs w:val="26"/>
    </w:rPr>
  </w:style>
  <w:style w:type="paragraph" w:styleId="Heading6">
    <w:name w:val="heading 6"/>
    <w:basedOn w:val="Normal"/>
    <w:next w:val="Normal"/>
    <w:uiPriority w:val="9"/>
    <w:semiHidden/>
    <w:unhideWhenUsed/>
    <w:qFormat/>
    <w:rsid w:val="000F6A0B"/>
    <w:pPr>
      <w:spacing w:before="240" w:after="60"/>
      <w:outlineLvl w:val="5"/>
    </w:pPr>
    <w:rPr>
      <w:b/>
      <w:bCs/>
      <w:sz w:val="22"/>
      <w:szCs w:val="22"/>
    </w:rPr>
  </w:style>
  <w:style w:type="paragraph" w:styleId="Heading8">
    <w:name w:val="heading 8"/>
    <w:basedOn w:val="Normal"/>
    <w:next w:val="Normal"/>
    <w:qFormat/>
    <w:rsid w:val="000F6A0B"/>
    <w:pPr>
      <w:spacing w:before="240"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semiHidden/>
  </w:style>
  <w:style w:type="paragraph" w:styleId="BalloonText">
    <w:name w:val="Balloon Text"/>
    <w:basedOn w:val="Normal"/>
    <w:semiHidden/>
    <w:rsid w:val="000B2BA4"/>
    <w:rPr>
      <w:rFonts w:ascii="Tahoma" w:hAnsi="Tahoma" w:cs="Tahoma"/>
      <w:sz w:val="16"/>
      <w:szCs w:val="16"/>
    </w:rPr>
  </w:style>
  <w:style w:type="paragraph" w:customStyle="1" w:styleId="CM8">
    <w:name w:val="CM8"/>
    <w:basedOn w:val="Normal"/>
    <w:next w:val="Normal"/>
    <w:rsid w:val="00FD478F"/>
    <w:pPr>
      <w:widowControl/>
    </w:pPr>
    <w:rPr>
      <w:sz w:val="24"/>
    </w:rPr>
  </w:style>
  <w:style w:type="paragraph" w:customStyle="1" w:styleId="CM3">
    <w:name w:val="CM3"/>
    <w:basedOn w:val="Normal"/>
    <w:next w:val="Normal"/>
    <w:rsid w:val="00FD478F"/>
    <w:pPr>
      <w:widowControl/>
    </w:pPr>
    <w:rPr>
      <w:sz w:val="24"/>
    </w:rPr>
  </w:style>
  <w:style w:type="paragraph" w:customStyle="1" w:styleId="subsection">
    <w:name w:val="subsection"/>
    <w:basedOn w:val="Normal"/>
    <w:rsid w:val="00170F8D"/>
    <w:pPr>
      <w:widowControl/>
      <w:autoSpaceDE/>
      <w:autoSpaceDN/>
      <w:adjustRightInd/>
      <w:spacing w:before="100" w:beforeAutospacing="1" w:after="100" w:afterAutospacing="1"/>
    </w:pPr>
    <w:rPr>
      <w:sz w:val="24"/>
    </w:rPr>
  </w:style>
  <w:style w:type="paragraph" w:styleId="BodyTextIndent">
    <w:name w:val="Body Text Indent"/>
    <w:basedOn w:val="Normal"/>
    <w:rsid w:val="000F6A0B"/>
    <w:pPr>
      <w:widowControl/>
      <w:autoSpaceDE/>
      <w:autoSpaceDN/>
      <w:adjustRightInd/>
      <w:ind w:left="1440" w:hanging="1440"/>
      <w:jc w:val="both"/>
    </w:pPr>
    <w:rPr>
      <w:snapToGrid w:val="0"/>
      <w:sz w:val="24"/>
    </w:rPr>
  </w:style>
  <w:style w:type="paragraph" w:styleId="DocumentMap">
    <w:name w:val="Document Map"/>
    <w:basedOn w:val="Normal"/>
    <w:semiHidden/>
    <w:rsid w:val="00DB61E6"/>
    <w:pPr>
      <w:shd w:val="clear" w:color="auto" w:fill="000080"/>
    </w:pPr>
    <w:rPr>
      <w:rFonts w:ascii="Tahoma" w:hAnsi="Tahoma" w:cs="Tahoma"/>
      <w:szCs w:val="20"/>
    </w:rPr>
  </w:style>
  <w:style w:type="paragraph" w:styleId="Header">
    <w:name w:val="header"/>
    <w:basedOn w:val="Normal"/>
    <w:rsid w:val="00EB6A42"/>
    <w:pPr>
      <w:tabs>
        <w:tab w:val="center" w:pos="4320"/>
        <w:tab w:val="right" w:pos="8640"/>
      </w:tabs>
    </w:pPr>
  </w:style>
  <w:style w:type="paragraph" w:styleId="Footer">
    <w:name w:val="footer"/>
    <w:basedOn w:val="Normal"/>
    <w:rsid w:val="00EB6A42"/>
    <w:pPr>
      <w:tabs>
        <w:tab w:val="center" w:pos="4320"/>
        <w:tab w:val="right" w:pos="8640"/>
      </w:tabs>
    </w:pPr>
  </w:style>
  <w:style w:type="character" w:styleId="PageNumber">
    <w:name w:val="page number"/>
    <w:basedOn w:val="DefaultParagraphFont"/>
    <w:rsid w:val="00EB6A42"/>
  </w:style>
  <w:style w:type="paragraph" w:customStyle="1" w:styleId="CM26">
    <w:name w:val="CM26"/>
    <w:basedOn w:val="Normal"/>
    <w:next w:val="Normal"/>
    <w:rsid w:val="00C50336"/>
    <w:pPr>
      <w:widowControl/>
    </w:pPr>
    <w:rPr>
      <w:sz w:val="24"/>
    </w:rPr>
  </w:style>
  <w:style w:type="table" w:styleId="TableGrid">
    <w:name w:val="Table Grid"/>
    <w:basedOn w:val="TableNormal"/>
    <w:rsid w:val="00E2081D"/>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1">
    <w:name w:val="CM21"/>
    <w:basedOn w:val="Normal"/>
    <w:next w:val="Normal"/>
    <w:rsid w:val="007A5847"/>
    <w:pPr>
      <w:widowControl/>
    </w:pPr>
    <w:rPr>
      <w:rFonts w:ascii="Arial" w:hAnsi="Arial"/>
      <w:sz w:val="24"/>
    </w:rPr>
  </w:style>
  <w:style w:type="paragraph" w:styleId="ListParagraph">
    <w:name w:val="List Paragraph"/>
    <w:basedOn w:val="Normal"/>
    <w:uiPriority w:val="34"/>
    <w:qFormat/>
    <w:rsid w:val="008E4431"/>
    <w:pPr>
      <w:ind w:left="720"/>
    </w:pPr>
  </w:style>
  <w:style w:type="paragraph" w:styleId="Caption">
    <w:name w:val="caption"/>
    <w:basedOn w:val="Normal"/>
    <w:next w:val="Normal"/>
    <w:unhideWhenUsed/>
    <w:qFormat/>
    <w:rsid w:val="00486282"/>
    <w:pPr>
      <w:spacing w:after="200"/>
    </w:pPr>
    <w:rPr>
      <w:b/>
      <w:bCs/>
      <w:color w:val="4F81BD" w:themeColor="accent1"/>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EQzpqdMcycrhl9pPbST3yj+WQ==">AMUW2mWSEF9wZ2T0iUbPRP3Cp/w82qu/6NAyN07KUHhFDmkhrkU0rjAnW17qsUMqw9ivUEe2luiEuyqFqfHr2/a84DNjz9liWiVJBMgYzAuUCCfW+KzYjjK+noh0KTeLjZ8lUOMK6bDlB96EkCMzZMKnITf5EnIuXy4L/rdIjkOGsjsz2tokVDrbdSbUhTl1r0MVVf4Mu8fLf5Qe8GU7x/hBX+GaVOTqRAKKM/8wO/WE9DSPah5EYUXHF46Vx2cyWptnNsFl+lfisy6lZ/p3X+MOdiWXY8IeEa4TKnXGIWS65OtCPI5kk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wmoellme</dc:creator>
  <cp:lastModifiedBy>Jeffrey Studenka</cp:lastModifiedBy>
  <cp:revision>9</cp:revision>
  <dcterms:created xsi:type="dcterms:W3CDTF">2022-10-07T16:18:00Z</dcterms:created>
  <dcterms:modified xsi:type="dcterms:W3CDTF">2022-10-25T20:09:00Z</dcterms:modified>
</cp:coreProperties>
</file>